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3DA5F" w14:textId="6AD653FB"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3GPP TSG-RAN WG3</w:t>
      </w:r>
      <w:r w:rsidR="006D774A" w:rsidRPr="00981EFF">
        <w:rPr>
          <w:rFonts w:ascii="Arial" w:hAnsi="Arial" w:cs="Arial"/>
          <w:bCs/>
          <w:color w:val="000000"/>
          <w:sz w:val="22"/>
          <w:szCs w:val="22"/>
        </w:rPr>
        <w:t xml:space="preserve"> </w:t>
      </w:r>
      <w:r w:rsidR="00993E95" w:rsidRPr="00981EFF">
        <w:rPr>
          <w:rFonts w:ascii="Arial" w:hAnsi="Arial" w:cs="Arial"/>
          <w:bCs/>
          <w:color w:val="000000"/>
          <w:sz w:val="22"/>
          <w:szCs w:val="22"/>
        </w:rPr>
        <w:t>#</w:t>
      </w:r>
      <w:r w:rsidR="00585DED" w:rsidRPr="00981EFF">
        <w:rPr>
          <w:rFonts w:ascii="Arial" w:hAnsi="Arial" w:cs="Arial"/>
          <w:bCs/>
          <w:color w:val="000000"/>
          <w:sz w:val="22"/>
          <w:szCs w:val="22"/>
        </w:rPr>
        <w:t>1</w:t>
      </w:r>
      <w:r w:rsidR="000C32B5">
        <w:rPr>
          <w:rFonts w:ascii="Arial" w:hAnsi="Arial" w:cs="Arial"/>
          <w:bCs/>
          <w:color w:val="000000"/>
          <w:sz w:val="22"/>
          <w:szCs w:val="22"/>
        </w:rPr>
        <w:t>2</w:t>
      </w:r>
      <w:r w:rsidR="00FA5E8B">
        <w:rPr>
          <w:rFonts w:ascii="Arial" w:hAnsi="Arial" w:cs="Arial"/>
          <w:bCs/>
          <w:color w:val="000000"/>
          <w:sz w:val="22"/>
          <w:szCs w:val="22"/>
        </w:rPr>
        <w:t>1</w:t>
      </w:r>
      <w:r w:rsidR="00B2418B">
        <w:rPr>
          <w:rFonts w:ascii="Arial" w:hAnsi="Arial" w:cs="Arial"/>
          <w:bCs/>
          <w:color w:val="000000"/>
          <w:sz w:val="22"/>
          <w:szCs w:val="22"/>
        </w:rPr>
        <w:t>-</w:t>
      </w:r>
      <w:r w:rsidR="00D80BDD">
        <w:rPr>
          <w:rFonts w:ascii="Arial" w:hAnsi="Arial" w:cs="Arial"/>
          <w:bCs/>
          <w:color w:val="000000"/>
          <w:sz w:val="22"/>
          <w:szCs w:val="22"/>
        </w:rPr>
        <w:t>bis</w:t>
      </w:r>
      <w:r w:rsidRPr="00981EFF">
        <w:rPr>
          <w:rFonts w:ascii="Arial" w:hAnsi="Arial" w:cs="Arial"/>
          <w:bCs/>
          <w:color w:val="000000"/>
          <w:sz w:val="22"/>
          <w:szCs w:val="22"/>
        </w:rPr>
        <w:tab/>
      </w:r>
      <w:r w:rsidR="008F5BDE" w:rsidRPr="008F5BDE">
        <w:rPr>
          <w:sz w:val="28"/>
          <w:szCs w:val="28"/>
        </w:rPr>
        <w:t>R3-</w:t>
      </w:r>
      <w:r w:rsidR="0013416C" w:rsidRPr="0013416C">
        <w:rPr>
          <w:sz w:val="28"/>
          <w:szCs w:val="28"/>
        </w:rPr>
        <w:t>235621</w:t>
      </w:r>
    </w:p>
    <w:p w14:paraId="312F1704" w14:textId="6FBDC125" w:rsidR="00DC4196" w:rsidRPr="00981EFF" w:rsidRDefault="00D80BDD" w:rsidP="00DC4196">
      <w:pPr>
        <w:pStyle w:val="3GPPHeader"/>
        <w:rPr>
          <w:rFonts w:ascii="Arial" w:hAnsi="Arial" w:cs="Arial"/>
          <w:bCs/>
          <w:color w:val="000000"/>
          <w:sz w:val="22"/>
          <w:szCs w:val="22"/>
        </w:rPr>
      </w:pPr>
      <w:bookmarkStart w:id="0" w:name="_Hlk61362165"/>
      <w:r>
        <w:rPr>
          <w:rFonts w:ascii="Arial" w:hAnsi="Arial" w:cs="Arial"/>
          <w:bCs/>
          <w:color w:val="000000"/>
          <w:sz w:val="22"/>
          <w:szCs w:val="22"/>
        </w:rPr>
        <w:t>Xiamen</w:t>
      </w:r>
      <w:r w:rsidR="005147D7" w:rsidRPr="00981EFF">
        <w:rPr>
          <w:rFonts w:ascii="Arial" w:hAnsi="Arial" w:cs="Arial"/>
          <w:bCs/>
          <w:color w:val="000000"/>
          <w:sz w:val="22"/>
          <w:szCs w:val="22"/>
        </w:rPr>
        <w:t xml:space="preserve">, </w:t>
      </w:r>
      <w:r>
        <w:rPr>
          <w:rFonts w:ascii="Arial" w:hAnsi="Arial" w:cs="Arial"/>
          <w:bCs/>
          <w:color w:val="000000"/>
          <w:sz w:val="22"/>
          <w:szCs w:val="22"/>
        </w:rPr>
        <w:t>9</w:t>
      </w:r>
      <w:r w:rsidR="007F6119">
        <w:rPr>
          <w:rFonts w:ascii="Arial" w:hAnsi="Arial" w:cs="Arial"/>
          <w:bCs/>
          <w:color w:val="000000"/>
          <w:sz w:val="22"/>
          <w:szCs w:val="22"/>
        </w:rPr>
        <w:t xml:space="preserve"> – </w:t>
      </w:r>
      <w:r>
        <w:rPr>
          <w:rFonts w:ascii="Arial" w:hAnsi="Arial" w:cs="Arial"/>
          <w:bCs/>
          <w:color w:val="000000"/>
          <w:sz w:val="22"/>
          <w:szCs w:val="22"/>
        </w:rPr>
        <w:t>13</w:t>
      </w:r>
      <w:r w:rsidR="007F6119">
        <w:rPr>
          <w:rFonts w:ascii="Arial" w:hAnsi="Arial" w:cs="Arial"/>
          <w:bCs/>
          <w:color w:val="000000"/>
          <w:sz w:val="22"/>
          <w:szCs w:val="22"/>
        </w:rPr>
        <w:t xml:space="preserve"> </w:t>
      </w:r>
      <w:r>
        <w:rPr>
          <w:rFonts w:ascii="Arial" w:hAnsi="Arial" w:cs="Arial"/>
          <w:bCs/>
          <w:color w:val="000000"/>
          <w:sz w:val="22"/>
          <w:szCs w:val="22"/>
        </w:rPr>
        <w:t>Oct</w:t>
      </w:r>
      <w:r w:rsidR="00FA5E8B">
        <w:rPr>
          <w:rFonts w:ascii="Arial" w:hAnsi="Arial" w:cs="Arial"/>
          <w:bCs/>
          <w:color w:val="000000"/>
          <w:sz w:val="22"/>
          <w:szCs w:val="22"/>
        </w:rPr>
        <w:t>.</w:t>
      </w:r>
      <w:r w:rsidR="000C32B5" w:rsidRPr="00981EFF">
        <w:rPr>
          <w:rFonts w:ascii="Arial" w:hAnsi="Arial" w:cs="Arial"/>
          <w:bCs/>
          <w:color w:val="000000"/>
          <w:sz w:val="22"/>
          <w:szCs w:val="22"/>
        </w:rPr>
        <w:t xml:space="preserve"> </w:t>
      </w:r>
      <w:r w:rsidR="00304EB8" w:rsidRPr="00981EFF">
        <w:rPr>
          <w:rFonts w:ascii="Arial" w:hAnsi="Arial" w:cs="Arial"/>
          <w:bCs/>
          <w:color w:val="000000"/>
          <w:sz w:val="22"/>
          <w:szCs w:val="22"/>
        </w:rPr>
        <w:t>202</w:t>
      </w:r>
      <w:bookmarkEnd w:id="0"/>
      <w:r w:rsidR="007F6119">
        <w:rPr>
          <w:rFonts w:ascii="Arial" w:hAnsi="Arial" w:cs="Arial"/>
          <w:bCs/>
          <w:color w:val="000000"/>
          <w:sz w:val="22"/>
          <w:szCs w:val="22"/>
        </w:rPr>
        <w:t>3</w:t>
      </w:r>
    </w:p>
    <w:p w14:paraId="7692BC15" w14:textId="0D49CF04"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Agenda Item:</w:t>
      </w:r>
      <w:r w:rsidRPr="00981EFF">
        <w:rPr>
          <w:rFonts w:ascii="Arial" w:hAnsi="Arial" w:cs="Arial"/>
          <w:bCs/>
          <w:color w:val="000000"/>
          <w:sz w:val="22"/>
          <w:szCs w:val="22"/>
        </w:rPr>
        <w:tab/>
      </w:r>
      <w:r w:rsidR="00D87B8D" w:rsidRPr="00D87B8D">
        <w:rPr>
          <w:rFonts w:ascii="Arial" w:hAnsi="Arial" w:cs="Arial"/>
          <w:bCs/>
          <w:color w:val="000000"/>
          <w:sz w:val="22"/>
          <w:szCs w:val="22"/>
          <w:lang w:val="en-GB"/>
        </w:rPr>
        <w:t>14.2. Signaling Support for L1/L2 based Inter-Cell Mobility</w:t>
      </w:r>
    </w:p>
    <w:p w14:paraId="76466457" w14:textId="0FC32412"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sidR="00FC453C">
        <w:rPr>
          <w:rFonts w:ascii="Arial" w:hAnsi="Arial" w:cs="Arial"/>
          <w:bCs/>
          <w:color w:val="000000"/>
          <w:sz w:val="22"/>
          <w:szCs w:val="22"/>
        </w:rPr>
        <w:t>NTT DOCOMO INC.</w:t>
      </w:r>
    </w:p>
    <w:p w14:paraId="05846169" w14:textId="779C82F0"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2D0C73">
        <w:rPr>
          <w:rFonts w:ascii="Arial" w:hAnsi="Arial" w:cs="Arial"/>
          <w:bCs/>
          <w:color w:val="000000"/>
          <w:sz w:val="22"/>
          <w:szCs w:val="22"/>
        </w:rPr>
        <w:t>Further discussion on LTM</w:t>
      </w:r>
    </w:p>
    <w:p w14:paraId="429999BD" w14:textId="0F497B05" w:rsidR="004F1A79"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r>
      <w:r w:rsidR="003A5F2E" w:rsidRPr="00981EFF">
        <w:rPr>
          <w:rFonts w:ascii="Arial" w:hAnsi="Arial" w:cs="Arial"/>
          <w:bCs/>
          <w:color w:val="000000"/>
          <w:sz w:val="22"/>
          <w:szCs w:val="22"/>
        </w:rPr>
        <w:t>Discussion</w:t>
      </w:r>
      <w:r w:rsidR="003D459A" w:rsidRPr="00981EFF">
        <w:rPr>
          <w:rFonts w:ascii="Arial" w:hAnsi="Arial" w:cs="Arial"/>
          <w:bCs/>
          <w:color w:val="000000"/>
          <w:sz w:val="22"/>
          <w:szCs w:val="22"/>
        </w:rPr>
        <w:t>, agreement</w:t>
      </w:r>
    </w:p>
    <w:p w14:paraId="19ABC207" w14:textId="77777777" w:rsidR="00E250A8" w:rsidRPr="008D2440" w:rsidRDefault="00E250A8">
      <w:pPr>
        <w:pStyle w:val="1"/>
      </w:pPr>
      <w:r w:rsidRPr="008D2440">
        <w:t>Introduction</w:t>
      </w:r>
    </w:p>
    <w:p w14:paraId="70E3754A" w14:textId="5E9291CD" w:rsidR="00EE18AA" w:rsidRDefault="00EB61A6" w:rsidP="000C32B5">
      <w:pPr>
        <w:spacing w:after="0"/>
        <w:rPr>
          <w:noProof w:val="0"/>
        </w:rPr>
      </w:pPr>
      <w:r>
        <w:rPr>
          <w:noProof w:val="0"/>
        </w:rPr>
        <w:t>In</w:t>
      </w:r>
      <w:r w:rsidR="00EE18AA">
        <w:rPr>
          <w:noProof w:val="0"/>
        </w:rPr>
        <w:t xml:space="preserve"> the previous meeting, RAN3#</w:t>
      </w:r>
      <w:r>
        <w:rPr>
          <w:noProof w:val="0"/>
        </w:rPr>
        <w:t>12</w:t>
      </w:r>
      <w:r w:rsidR="008F49CE">
        <w:rPr>
          <w:noProof w:val="0"/>
        </w:rPr>
        <w:t>1</w:t>
      </w:r>
      <w:r w:rsidR="00EE18AA">
        <w:rPr>
          <w:noProof w:val="0"/>
        </w:rPr>
        <w:t xml:space="preserve">, </w:t>
      </w:r>
      <w:r w:rsidR="000C32B5">
        <w:rPr>
          <w:noProof w:val="0"/>
        </w:rPr>
        <w:t xml:space="preserve">many agreements were </w:t>
      </w:r>
      <w:r w:rsidR="006F4940">
        <w:rPr>
          <w:rFonts w:hint="eastAsia"/>
          <w:noProof w:val="0"/>
        </w:rPr>
        <w:t>a</w:t>
      </w:r>
      <w:r w:rsidR="006F4940">
        <w:rPr>
          <w:noProof w:val="0"/>
        </w:rPr>
        <w:t>chieved, however, I’m raising some of them related to our proposals in this contribution.</w:t>
      </w:r>
    </w:p>
    <w:p w14:paraId="150C2E0A" w14:textId="77777777" w:rsidR="00AB5A81" w:rsidRPr="00305EFD" w:rsidRDefault="00AB5A81" w:rsidP="00EE18AA">
      <w:pPr>
        <w:spacing w:after="0"/>
        <w:rPr>
          <w:noProof w:val="0"/>
        </w:rPr>
      </w:pPr>
    </w:p>
    <w:p w14:paraId="5B9953F8" w14:textId="77777777" w:rsidR="006F4940" w:rsidRDefault="006F4940" w:rsidP="006F4940">
      <w:pPr>
        <w:pStyle w:val="Web"/>
        <w:spacing w:before="0" w:beforeAutospacing="0" w:after="120" w:afterAutospacing="0"/>
        <w:ind w:leftChars="200" w:left="440"/>
        <w:rPr>
          <w:rFonts w:ascii="Calibri" w:eastAsia="游ゴシック" w:hAnsi="Calibri" w:cs="Calibri"/>
          <w:sz w:val="22"/>
          <w:szCs w:val="22"/>
        </w:rPr>
      </w:pPr>
      <w:r>
        <w:rPr>
          <w:rFonts w:ascii="Calibri" w:eastAsia="游ゴシック" w:hAnsi="Calibri" w:cs="Calibri"/>
          <w:sz w:val="22"/>
          <w:szCs w:val="22"/>
          <w:u w:val="single"/>
        </w:rPr>
        <w:t>TCI state configuration</w:t>
      </w:r>
    </w:p>
    <w:p w14:paraId="243727CA" w14:textId="77777777" w:rsidR="006F4940" w:rsidRDefault="006F4940" w:rsidP="006F4940">
      <w:pPr>
        <w:pStyle w:val="Web"/>
        <w:spacing w:before="0" w:beforeAutospacing="0" w:after="120" w:afterAutospacing="0"/>
        <w:ind w:leftChars="200" w:left="440"/>
        <w:rPr>
          <w:rFonts w:ascii="Calibri" w:eastAsia="游ゴシック" w:hAnsi="Calibri" w:cs="Calibri"/>
          <w:color w:val="008000"/>
          <w:sz w:val="22"/>
          <w:szCs w:val="22"/>
        </w:rPr>
      </w:pPr>
      <w:r>
        <w:rPr>
          <w:rFonts w:ascii="Calibri" w:eastAsia="游ゴシック" w:hAnsi="Calibri" w:cs="Calibri"/>
          <w:b/>
          <w:bCs/>
          <w:color w:val="008000"/>
          <w:sz w:val="22"/>
          <w:szCs w:val="22"/>
        </w:rPr>
        <w:t>The gNB-CU uses the UE Context Setup procedure to collect the TCI state configurations of candidate cells in LTM configuration phase for inter-DU LTM.</w:t>
      </w:r>
    </w:p>
    <w:p w14:paraId="72FE29ED" w14:textId="77777777" w:rsidR="006F4940" w:rsidRDefault="006F4940" w:rsidP="006F4940">
      <w:pPr>
        <w:pStyle w:val="Web"/>
        <w:spacing w:before="0" w:beforeAutospacing="0" w:after="120" w:afterAutospacing="0"/>
        <w:ind w:leftChars="200" w:left="440"/>
        <w:rPr>
          <w:rFonts w:ascii="Calibri" w:eastAsia="游ゴシック" w:hAnsi="Calibri" w:cs="Calibri"/>
          <w:color w:val="008000"/>
          <w:sz w:val="22"/>
          <w:szCs w:val="22"/>
        </w:rPr>
      </w:pPr>
      <w:r>
        <w:rPr>
          <w:rFonts w:ascii="Calibri" w:eastAsia="游ゴシック" w:hAnsi="Calibri" w:cs="Calibri"/>
          <w:b/>
          <w:bCs/>
          <w:color w:val="008000"/>
          <w:sz w:val="22"/>
          <w:szCs w:val="22"/>
        </w:rPr>
        <w:t>After LTM configuration, the gNB-CU indicates the collected TCI state configurations of candidate cells to the source gNB-DU and all candidate DUs via UE Context Modification procedure for the UE.</w:t>
      </w:r>
    </w:p>
    <w:p w14:paraId="1B9B561F" w14:textId="77777777" w:rsidR="006F4940" w:rsidRDefault="006F4940" w:rsidP="006F4940">
      <w:pPr>
        <w:pStyle w:val="Web"/>
        <w:spacing w:before="0" w:beforeAutospacing="0" w:after="120" w:afterAutospacing="0"/>
        <w:ind w:leftChars="200" w:left="440"/>
        <w:rPr>
          <w:rFonts w:ascii="Calibri" w:eastAsia="游ゴシック" w:hAnsi="Calibri" w:cs="Calibri"/>
          <w:color w:val="0000FF"/>
          <w:sz w:val="22"/>
          <w:szCs w:val="22"/>
        </w:rPr>
      </w:pPr>
      <w:r>
        <w:rPr>
          <w:rFonts w:ascii="Calibri" w:eastAsia="游ゴシック" w:hAnsi="Calibri" w:cs="Calibri"/>
          <w:b/>
          <w:bCs/>
          <w:color w:val="0000FF"/>
          <w:sz w:val="22"/>
          <w:szCs w:val="22"/>
        </w:rPr>
        <w:t>FFS on the need of an explicit request from CU</w:t>
      </w:r>
    </w:p>
    <w:p w14:paraId="3143A1D4" w14:textId="77777777" w:rsidR="006F4940" w:rsidRDefault="006F4940" w:rsidP="006F4940">
      <w:pPr>
        <w:pStyle w:val="Web"/>
        <w:spacing w:before="0" w:beforeAutospacing="0" w:after="120" w:afterAutospacing="0"/>
        <w:ind w:leftChars="200" w:left="440"/>
        <w:rPr>
          <w:rFonts w:ascii="Calibri" w:eastAsia="游ゴシック" w:hAnsi="Calibri" w:cs="Calibri"/>
          <w:sz w:val="22"/>
          <w:szCs w:val="22"/>
        </w:rPr>
      </w:pPr>
      <w:r>
        <w:rPr>
          <w:rFonts w:ascii="Calibri" w:eastAsia="游ゴシック" w:hAnsi="Calibri" w:cs="Calibri"/>
          <w:sz w:val="22"/>
          <w:szCs w:val="22"/>
        </w:rPr>
        <w:t> </w:t>
      </w:r>
    </w:p>
    <w:p w14:paraId="0AA40F32" w14:textId="77777777" w:rsidR="006F4940" w:rsidRDefault="006F4940" w:rsidP="006F4940">
      <w:pPr>
        <w:pStyle w:val="Web"/>
        <w:spacing w:before="0" w:beforeAutospacing="0" w:after="120" w:afterAutospacing="0"/>
        <w:ind w:leftChars="200" w:left="440"/>
        <w:rPr>
          <w:rFonts w:ascii="Calibri" w:eastAsia="游ゴシック" w:hAnsi="Calibri" w:cs="Calibri"/>
          <w:sz w:val="22"/>
          <w:szCs w:val="22"/>
        </w:rPr>
      </w:pPr>
      <w:r>
        <w:rPr>
          <w:rFonts w:ascii="Calibri" w:eastAsia="游ゴシック" w:hAnsi="Calibri" w:cs="Calibri"/>
          <w:sz w:val="22"/>
          <w:szCs w:val="22"/>
          <w:u w:val="single"/>
        </w:rPr>
        <w:t>Selected beam transfer</w:t>
      </w:r>
    </w:p>
    <w:p w14:paraId="52E7A816" w14:textId="77777777" w:rsidR="006F4940" w:rsidRDefault="006F4940" w:rsidP="006F4940">
      <w:pPr>
        <w:pStyle w:val="Web"/>
        <w:spacing w:before="0" w:beforeAutospacing="0" w:after="120" w:afterAutospacing="0"/>
        <w:ind w:leftChars="200" w:left="440"/>
        <w:rPr>
          <w:rFonts w:ascii="Calibri" w:eastAsia="游ゴシック" w:hAnsi="Calibri" w:cs="Calibri"/>
          <w:color w:val="008000"/>
          <w:sz w:val="22"/>
          <w:szCs w:val="22"/>
        </w:rPr>
      </w:pPr>
      <w:r>
        <w:rPr>
          <w:rFonts w:ascii="Calibri" w:eastAsia="游ゴシック" w:hAnsi="Calibri" w:cs="Calibri"/>
          <w:b/>
          <w:bCs/>
          <w:color w:val="008000"/>
          <w:sz w:val="22"/>
          <w:szCs w:val="22"/>
        </w:rPr>
        <w:t xml:space="preserve">The LTM Cell Change Notification procedure is reused to transfer the selected beam from the source gNB-DU to the target gNB-DU via gNB-CU. </w:t>
      </w:r>
    </w:p>
    <w:p w14:paraId="1C28334E" w14:textId="77777777" w:rsidR="006F4940" w:rsidRDefault="006F4940" w:rsidP="006F4940">
      <w:pPr>
        <w:pStyle w:val="Web"/>
        <w:spacing w:before="0" w:beforeAutospacing="0" w:after="120" w:afterAutospacing="0"/>
        <w:ind w:leftChars="200" w:left="440"/>
        <w:rPr>
          <w:rFonts w:ascii="Calibri" w:eastAsia="游ゴシック" w:hAnsi="Calibri" w:cs="Calibri"/>
          <w:color w:val="0000FF"/>
          <w:sz w:val="22"/>
          <w:szCs w:val="22"/>
        </w:rPr>
      </w:pPr>
      <w:r>
        <w:rPr>
          <w:rFonts w:ascii="Calibri" w:eastAsia="游ゴシック" w:hAnsi="Calibri" w:cs="Calibri"/>
          <w:b/>
          <w:bCs/>
          <w:color w:val="0000FF"/>
          <w:sz w:val="22"/>
          <w:szCs w:val="22"/>
        </w:rPr>
        <w:t xml:space="preserve">FFS for the detail of selected beam information. </w:t>
      </w:r>
    </w:p>
    <w:p w14:paraId="4D44EC9C" w14:textId="77777777" w:rsidR="006F4940" w:rsidRDefault="006F4940" w:rsidP="006F4940">
      <w:pPr>
        <w:pStyle w:val="Web"/>
        <w:spacing w:before="0" w:beforeAutospacing="0" w:after="120" w:afterAutospacing="0"/>
        <w:ind w:leftChars="200" w:left="440"/>
        <w:rPr>
          <w:rFonts w:ascii="Calibri" w:eastAsia="游ゴシック" w:hAnsi="Calibri" w:cs="Calibri"/>
          <w:color w:val="0000FF"/>
          <w:sz w:val="22"/>
          <w:szCs w:val="22"/>
        </w:rPr>
      </w:pPr>
      <w:r>
        <w:rPr>
          <w:rFonts w:ascii="Calibri" w:eastAsia="游ゴシック" w:hAnsi="Calibri" w:cs="Calibri"/>
          <w:b/>
          <w:bCs/>
          <w:color w:val="0000FF"/>
          <w:sz w:val="22"/>
          <w:szCs w:val="22"/>
        </w:rPr>
        <w:t>FFS on the procedure from CU to target DU to inform the selected beam information and target cell ID.</w:t>
      </w:r>
    </w:p>
    <w:p w14:paraId="6835FC21" w14:textId="77777777" w:rsidR="006F4940" w:rsidRDefault="006F4940" w:rsidP="006F4940">
      <w:pPr>
        <w:pStyle w:val="Web"/>
        <w:spacing w:before="0" w:beforeAutospacing="0" w:after="120" w:afterAutospacing="0"/>
        <w:ind w:leftChars="445" w:left="979"/>
        <w:rPr>
          <w:rFonts w:ascii="Calibri" w:eastAsia="游ゴシック" w:hAnsi="Calibri" w:cs="Calibri"/>
          <w:color w:val="0000FF"/>
          <w:sz w:val="22"/>
          <w:szCs w:val="22"/>
        </w:rPr>
      </w:pPr>
      <w:r>
        <w:rPr>
          <w:rFonts w:ascii="Calibri" w:eastAsia="游ゴシック" w:hAnsi="Calibri" w:cs="Calibri"/>
          <w:b/>
          <w:bCs/>
          <w:color w:val="0000FF"/>
          <w:sz w:val="22"/>
          <w:szCs w:val="22"/>
        </w:rPr>
        <w:t>Option 1: Two new class 2 procedures with different name.</w:t>
      </w:r>
    </w:p>
    <w:p w14:paraId="7A16678F" w14:textId="77777777" w:rsidR="006F4940" w:rsidRDefault="006F4940" w:rsidP="006F4940">
      <w:pPr>
        <w:pStyle w:val="Web"/>
        <w:spacing w:before="0" w:beforeAutospacing="0" w:after="120" w:afterAutospacing="0"/>
        <w:ind w:leftChars="445" w:left="979"/>
        <w:rPr>
          <w:rFonts w:ascii="Calibri" w:eastAsia="游ゴシック" w:hAnsi="Calibri" w:cs="Calibri"/>
          <w:color w:val="0000FF"/>
          <w:sz w:val="22"/>
          <w:szCs w:val="22"/>
        </w:rPr>
      </w:pPr>
      <w:r>
        <w:rPr>
          <w:rFonts w:ascii="Calibri" w:eastAsia="游ゴシック" w:hAnsi="Calibri" w:cs="Calibri"/>
          <w:b/>
          <w:bCs/>
          <w:color w:val="0000FF"/>
          <w:sz w:val="22"/>
          <w:szCs w:val="22"/>
        </w:rPr>
        <w:t>Option 2: same new class 2 procedure</w:t>
      </w:r>
    </w:p>
    <w:p w14:paraId="488FD687" w14:textId="77777777" w:rsidR="006F4940" w:rsidRDefault="006F4940" w:rsidP="006F4940">
      <w:pPr>
        <w:pStyle w:val="Web"/>
        <w:spacing w:before="0" w:beforeAutospacing="0" w:after="120" w:afterAutospacing="0"/>
        <w:ind w:leftChars="445" w:left="979"/>
        <w:rPr>
          <w:rFonts w:ascii="Calibri" w:eastAsia="游ゴシック" w:hAnsi="Calibri" w:cs="Calibri"/>
          <w:color w:val="0000FF"/>
          <w:sz w:val="22"/>
          <w:szCs w:val="22"/>
        </w:rPr>
      </w:pPr>
      <w:r>
        <w:rPr>
          <w:rFonts w:ascii="Calibri" w:eastAsia="游ゴシック" w:hAnsi="Calibri" w:cs="Calibri"/>
          <w:b/>
          <w:bCs/>
          <w:color w:val="0000FF"/>
          <w:sz w:val="22"/>
          <w:szCs w:val="22"/>
        </w:rPr>
        <w:t>Option 3: class 1 procedure.</w:t>
      </w:r>
    </w:p>
    <w:p w14:paraId="5125E35E" w14:textId="77777777" w:rsidR="006F4940" w:rsidRDefault="006F4940" w:rsidP="006F4940">
      <w:pPr>
        <w:pStyle w:val="Web"/>
        <w:spacing w:before="0" w:beforeAutospacing="0" w:after="120" w:afterAutospacing="0"/>
        <w:ind w:leftChars="445" w:left="979"/>
        <w:rPr>
          <w:rFonts w:ascii="Calibri" w:eastAsia="游ゴシック" w:hAnsi="Calibri" w:cs="Calibri"/>
          <w:color w:val="0000FF"/>
          <w:sz w:val="22"/>
          <w:szCs w:val="22"/>
        </w:rPr>
      </w:pPr>
      <w:r>
        <w:rPr>
          <w:rFonts w:ascii="Calibri" w:eastAsia="游ゴシック" w:hAnsi="Calibri" w:cs="Calibri"/>
          <w:b/>
          <w:bCs/>
          <w:color w:val="0000FF"/>
          <w:sz w:val="22"/>
          <w:szCs w:val="22"/>
        </w:rPr>
        <w:t>Down selection among those 3 options  at next meeting.</w:t>
      </w:r>
    </w:p>
    <w:p w14:paraId="35905D53" w14:textId="77777777" w:rsidR="006F4940" w:rsidRDefault="006F4940" w:rsidP="006F4940">
      <w:pPr>
        <w:pStyle w:val="Web"/>
        <w:spacing w:before="0" w:beforeAutospacing="0" w:after="120" w:afterAutospacing="0"/>
        <w:ind w:leftChars="200" w:left="440"/>
        <w:rPr>
          <w:rFonts w:ascii="Calibri" w:eastAsia="游ゴシック" w:hAnsi="Calibri" w:cs="Calibri"/>
          <w:sz w:val="22"/>
          <w:szCs w:val="22"/>
        </w:rPr>
      </w:pPr>
      <w:r>
        <w:rPr>
          <w:rFonts w:ascii="Calibri" w:eastAsia="游ゴシック" w:hAnsi="Calibri" w:cs="Calibri"/>
          <w:sz w:val="22"/>
          <w:szCs w:val="22"/>
        </w:rPr>
        <w:t> </w:t>
      </w:r>
    </w:p>
    <w:p w14:paraId="7E58FA43" w14:textId="77777777" w:rsidR="006F4940" w:rsidRDefault="006F4940" w:rsidP="006F4940">
      <w:pPr>
        <w:pStyle w:val="Web"/>
        <w:spacing w:before="0" w:beforeAutospacing="0" w:after="120" w:afterAutospacing="0"/>
        <w:ind w:leftChars="200" w:left="440"/>
        <w:rPr>
          <w:rFonts w:ascii="Calibri" w:eastAsia="游ゴシック" w:hAnsi="Calibri" w:cs="Calibri"/>
          <w:sz w:val="22"/>
          <w:szCs w:val="22"/>
        </w:rPr>
      </w:pPr>
      <w:r>
        <w:rPr>
          <w:rFonts w:ascii="Calibri" w:eastAsia="游ゴシック" w:hAnsi="Calibri" w:cs="Calibri"/>
          <w:sz w:val="22"/>
          <w:szCs w:val="22"/>
          <w:u w:val="single"/>
        </w:rPr>
        <w:t>TA acquisition</w:t>
      </w:r>
    </w:p>
    <w:p w14:paraId="00A3CD09" w14:textId="77777777" w:rsidR="006F4940" w:rsidRDefault="006F4940" w:rsidP="006F4940">
      <w:pPr>
        <w:pStyle w:val="Web"/>
        <w:spacing w:before="0" w:beforeAutospacing="0" w:after="120" w:afterAutospacing="0"/>
        <w:ind w:leftChars="200" w:left="440"/>
        <w:rPr>
          <w:rFonts w:ascii="Calibri" w:eastAsia="游ゴシック" w:hAnsi="Calibri" w:cs="Calibri"/>
          <w:color w:val="008000"/>
          <w:sz w:val="22"/>
          <w:szCs w:val="22"/>
        </w:rPr>
      </w:pPr>
      <w:r>
        <w:rPr>
          <w:rFonts w:ascii="Calibri" w:eastAsia="游ゴシック" w:hAnsi="Calibri" w:cs="Calibri"/>
          <w:b/>
          <w:bCs/>
          <w:color w:val="008000"/>
          <w:sz w:val="22"/>
          <w:szCs w:val="22"/>
        </w:rPr>
        <w:t xml:space="preserve">Source DU is in charge of checking the TA validity. </w:t>
      </w:r>
    </w:p>
    <w:p w14:paraId="695F46C5" w14:textId="77777777" w:rsidR="006F4940" w:rsidRDefault="006F4940" w:rsidP="006F4940">
      <w:pPr>
        <w:pStyle w:val="Web"/>
        <w:spacing w:before="0" w:beforeAutospacing="0" w:after="120" w:afterAutospacing="0"/>
        <w:ind w:leftChars="200" w:left="440"/>
        <w:rPr>
          <w:rFonts w:ascii="Calibri" w:eastAsia="游ゴシック" w:hAnsi="Calibri" w:cs="Calibri"/>
          <w:color w:val="0000FF"/>
          <w:sz w:val="22"/>
          <w:szCs w:val="22"/>
        </w:rPr>
      </w:pPr>
      <w:r>
        <w:rPr>
          <w:rFonts w:ascii="Calibri" w:eastAsia="游ゴシック" w:hAnsi="Calibri" w:cs="Calibri"/>
          <w:b/>
          <w:bCs/>
          <w:color w:val="0000FF"/>
          <w:sz w:val="22"/>
          <w:szCs w:val="22"/>
        </w:rPr>
        <w:t>S-DU indicates the valid TA values to target -DU after LTM for subsequent LTM</w:t>
      </w:r>
    </w:p>
    <w:p w14:paraId="287378E3" w14:textId="636A3124" w:rsidR="006F4940" w:rsidRDefault="006F4940" w:rsidP="006F4940">
      <w:pPr>
        <w:pStyle w:val="Web"/>
        <w:spacing w:before="0" w:beforeAutospacing="0" w:after="120" w:afterAutospacing="0"/>
        <w:ind w:leftChars="200" w:left="440"/>
        <w:rPr>
          <w:rFonts w:ascii="Calibri" w:eastAsia="游ゴシック" w:hAnsi="Calibri" w:cs="Calibri"/>
          <w:sz w:val="22"/>
          <w:szCs w:val="22"/>
        </w:rPr>
      </w:pPr>
      <w:r>
        <w:rPr>
          <w:rFonts w:ascii="Calibri" w:eastAsia="游ゴシック" w:hAnsi="Calibri" w:cs="Calibri"/>
          <w:sz w:val="22"/>
          <w:szCs w:val="22"/>
        </w:rPr>
        <w:t>  </w:t>
      </w:r>
    </w:p>
    <w:p w14:paraId="70F15C72" w14:textId="77777777" w:rsidR="006F4940" w:rsidRDefault="006F4940" w:rsidP="006F4940">
      <w:pPr>
        <w:pStyle w:val="Web"/>
        <w:spacing w:before="0" w:beforeAutospacing="0" w:after="120" w:afterAutospacing="0"/>
        <w:ind w:leftChars="200" w:left="440"/>
        <w:rPr>
          <w:rFonts w:ascii="Calibri" w:eastAsia="游ゴシック" w:hAnsi="Calibri" w:cs="Calibri"/>
          <w:sz w:val="22"/>
          <w:szCs w:val="22"/>
        </w:rPr>
      </w:pPr>
      <w:r>
        <w:rPr>
          <w:rFonts w:ascii="Calibri" w:eastAsia="游ゴシック" w:hAnsi="Calibri" w:cs="Calibri"/>
          <w:sz w:val="22"/>
          <w:szCs w:val="22"/>
          <w:u w:val="single"/>
        </w:rPr>
        <w:t>Reference Configuration</w:t>
      </w:r>
    </w:p>
    <w:p w14:paraId="76747E9E" w14:textId="77777777" w:rsidR="006F4940" w:rsidRDefault="006F4940" w:rsidP="006F4940">
      <w:pPr>
        <w:pStyle w:val="Web"/>
        <w:spacing w:before="0" w:beforeAutospacing="0" w:after="120" w:afterAutospacing="0"/>
        <w:ind w:leftChars="200" w:left="440"/>
        <w:rPr>
          <w:rFonts w:ascii="Calibri" w:eastAsia="游ゴシック" w:hAnsi="Calibri" w:cs="Calibri"/>
          <w:color w:val="FA0000"/>
          <w:sz w:val="22"/>
          <w:szCs w:val="22"/>
        </w:rPr>
      </w:pPr>
      <w:r>
        <w:rPr>
          <w:rFonts w:ascii="Calibri" w:eastAsia="游ゴシック" w:hAnsi="Calibri" w:cs="Calibri"/>
          <w:b/>
          <w:bCs/>
          <w:color w:val="FA0000"/>
          <w:sz w:val="22"/>
          <w:szCs w:val="22"/>
        </w:rPr>
        <w:t>Prioritize the reference configuration on F1 at next meeting.</w:t>
      </w:r>
    </w:p>
    <w:p w14:paraId="6E5DBE82" w14:textId="1E6816F5" w:rsidR="00E250A8" w:rsidRPr="00EF0F32" w:rsidRDefault="00153462">
      <w:pPr>
        <w:pStyle w:val="1"/>
      </w:pPr>
      <w:r w:rsidRPr="00EF0F32">
        <w:lastRenderedPageBreak/>
        <w:t>Discussion</w:t>
      </w:r>
    </w:p>
    <w:p w14:paraId="372D8412" w14:textId="4B2F05CF" w:rsidR="00366B56" w:rsidRDefault="009256CE">
      <w:pPr>
        <w:pStyle w:val="2"/>
        <w:rPr>
          <w:sz w:val="22"/>
          <w:szCs w:val="21"/>
        </w:rPr>
      </w:pPr>
      <w:r w:rsidRPr="009256CE">
        <w:rPr>
          <w:sz w:val="22"/>
          <w:szCs w:val="21"/>
        </w:rPr>
        <w:t>Execution of inter-DU LTM cell switch</w:t>
      </w:r>
    </w:p>
    <w:p w14:paraId="19DAB4DA" w14:textId="68AD5D55" w:rsidR="00E16FC1" w:rsidRDefault="00E16FC1" w:rsidP="00E16FC1">
      <w:pPr>
        <w:rPr>
          <w:noProof w:val="0"/>
        </w:rPr>
      </w:pPr>
      <w:r>
        <w:rPr>
          <w:noProof w:val="0"/>
        </w:rPr>
        <w:t>RAN3 has considered two approaches</w:t>
      </w:r>
      <w:r w:rsidR="006F4940">
        <w:rPr>
          <w:noProof w:val="0"/>
        </w:rPr>
        <w:t xml:space="preserve"> </w:t>
      </w:r>
      <w:r w:rsidR="001E42B7">
        <w:rPr>
          <w:noProof w:val="0"/>
        </w:rPr>
        <w:t>[1]</w:t>
      </w:r>
      <w:r>
        <w:rPr>
          <w:noProof w:val="0"/>
        </w:rPr>
        <w:t xml:space="preserve"> to the cell switch execution phase in inter-DU LTM:</w:t>
      </w:r>
    </w:p>
    <w:p w14:paraId="7658CE5B" w14:textId="541B5B57" w:rsidR="00E16FC1" w:rsidRDefault="00E16FC1" w:rsidP="00D7201E">
      <w:pPr>
        <w:ind w:leftChars="200" w:left="1701" w:hangingChars="573" w:hanging="1261"/>
        <w:rPr>
          <w:noProof w:val="0"/>
        </w:rPr>
      </w:pPr>
      <w:r>
        <w:rPr>
          <w:noProof w:val="0"/>
        </w:rPr>
        <w:t>Approach 1:</w:t>
      </w:r>
      <w:r w:rsidR="00D7201E">
        <w:rPr>
          <w:noProof w:val="0"/>
        </w:rPr>
        <w:t xml:space="preserve">   </w:t>
      </w:r>
      <w:r w:rsidR="00D7201E" w:rsidRPr="00D7201E">
        <w:rPr>
          <w:noProof w:val="0"/>
        </w:rPr>
        <w:t>the serving gNB-DU triggers the execution by transmitting LTM cell switch command to the UE and then informs the gNB-CU of the serving cell switch</w:t>
      </w:r>
      <w:r>
        <w:rPr>
          <w:noProof w:val="0"/>
        </w:rPr>
        <w:t xml:space="preserve">. </w:t>
      </w:r>
    </w:p>
    <w:p w14:paraId="3C015D5D" w14:textId="5DF99E14" w:rsidR="00F86B13" w:rsidRDefault="00D7201E" w:rsidP="006F4940">
      <w:pPr>
        <w:ind w:leftChars="200" w:left="1701" w:hangingChars="573" w:hanging="1261"/>
        <w:rPr>
          <w:noProof w:val="0"/>
        </w:rPr>
      </w:pPr>
      <w:r>
        <w:rPr>
          <w:noProof w:val="0"/>
        </w:rPr>
        <w:t xml:space="preserve">Approach </w:t>
      </w:r>
      <w:r w:rsidR="007F0647">
        <w:rPr>
          <w:noProof w:val="0"/>
        </w:rPr>
        <w:t>2</w:t>
      </w:r>
      <w:r>
        <w:rPr>
          <w:noProof w:val="0"/>
        </w:rPr>
        <w:t xml:space="preserve">:   </w:t>
      </w:r>
      <w:r w:rsidRPr="00D7201E">
        <w:rPr>
          <w:noProof w:val="0"/>
        </w:rPr>
        <w:t>the serving gNB-DU first requests information from target DU before triggering LTM cell switch command to the UE</w:t>
      </w:r>
      <w:r>
        <w:rPr>
          <w:noProof w:val="0"/>
        </w:rPr>
        <w:t xml:space="preserve">. </w:t>
      </w:r>
    </w:p>
    <w:p w14:paraId="265BFDAC" w14:textId="1EE71428" w:rsidR="006F4940" w:rsidRDefault="006F4940" w:rsidP="00D7201E">
      <w:pPr>
        <w:rPr>
          <w:noProof w:val="0"/>
        </w:rPr>
      </w:pPr>
      <w:r w:rsidRPr="006F4940">
        <w:rPr>
          <w:noProof w:val="0"/>
        </w:rPr>
        <w:t>In the reply LS from RAN2</w:t>
      </w:r>
      <w:r>
        <w:rPr>
          <w:noProof w:val="0"/>
        </w:rPr>
        <w:t xml:space="preserve"> [2]</w:t>
      </w:r>
      <w:r w:rsidRPr="006F4940">
        <w:rPr>
          <w:noProof w:val="0"/>
        </w:rPr>
        <w:t xml:space="preserve">, they stated that </w:t>
      </w:r>
      <w:r>
        <w:rPr>
          <w:noProof w:val="0"/>
        </w:rPr>
        <w:t>Approach</w:t>
      </w:r>
      <w:r w:rsidRPr="006F4940">
        <w:rPr>
          <w:noProof w:val="0"/>
        </w:rPr>
        <w:t xml:space="preserve"> 1 is the baseline and the </w:t>
      </w:r>
      <w:r>
        <w:rPr>
          <w:noProof w:val="0"/>
        </w:rPr>
        <w:t>signaling</w:t>
      </w:r>
      <w:r w:rsidRPr="006F4940">
        <w:rPr>
          <w:noProof w:val="0"/>
        </w:rPr>
        <w:t xml:space="preserve"> of </w:t>
      </w:r>
      <w:r>
        <w:rPr>
          <w:noProof w:val="0"/>
        </w:rPr>
        <w:t xml:space="preserve">Approach </w:t>
      </w:r>
      <w:r w:rsidRPr="006F4940">
        <w:rPr>
          <w:noProof w:val="0"/>
        </w:rPr>
        <w:t xml:space="preserve">2 is possible depending on the NW implementation. This </w:t>
      </w:r>
      <w:r>
        <w:rPr>
          <w:noProof w:val="0"/>
        </w:rPr>
        <w:t>aligns</w:t>
      </w:r>
      <w:r w:rsidRPr="006F4940">
        <w:rPr>
          <w:noProof w:val="0"/>
        </w:rPr>
        <w:t xml:space="preserve"> with RAN3's understanding, so for stage2/3 CR, RAN3 </w:t>
      </w:r>
      <w:r>
        <w:rPr>
          <w:noProof w:val="0"/>
        </w:rPr>
        <w:t>can</w:t>
      </w:r>
      <w:r w:rsidRPr="006F4940">
        <w:rPr>
          <w:noProof w:val="0"/>
        </w:rPr>
        <w:t xml:space="preserve"> agree to this.</w:t>
      </w:r>
    </w:p>
    <w:p w14:paraId="60C1157B" w14:textId="0EF19950" w:rsidR="00F86B13" w:rsidRPr="00AB5A81" w:rsidRDefault="00F86B13" w:rsidP="00F86B13">
      <w:pPr>
        <w:pStyle w:val="ProposalandObservation"/>
      </w:pPr>
      <w:r w:rsidRPr="00AB5A81">
        <w:t xml:space="preserve">Proposal </w:t>
      </w:r>
      <w:r>
        <w:t>1</w:t>
      </w:r>
      <w:r w:rsidRPr="00AB5A81">
        <w:t>:</w:t>
      </w:r>
      <w:r>
        <w:tab/>
      </w:r>
      <w:r w:rsidRPr="00F86B13">
        <w:t>Approach 1 shall be the baseline, while the support of Approach 2 could be up to the network implementation without any specification impact.</w:t>
      </w:r>
    </w:p>
    <w:p w14:paraId="7F548BCF" w14:textId="1A1156F5" w:rsidR="00F86B13" w:rsidRDefault="00F86B13" w:rsidP="00D7201E">
      <w:pPr>
        <w:rPr>
          <w:noProof w:val="0"/>
        </w:rPr>
      </w:pPr>
    </w:p>
    <w:p w14:paraId="2FAC579C" w14:textId="3A195FF5" w:rsidR="00933484" w:rsidRDefault="00933484" w:rsidP="00933484">
      <w:pPr>
        <w:pStyle w:val="2"/>
        <w:rPr>
          <w:sz w:val="22"/>
          <w:szCs w:val="21"/>
        </w:rPr>
      </w:pPr>
      <w:r>
        <w:rPr>
          <w:sz w:val="22"/>
          <w:szCs w:val="21"/>
        </w:rPr>
        <w:t>TCI state configuration</w:t>
      </w:r>
    </w:p>
    <w:p w14:paraId="23FFEA87" w14:textId="6FA16AFE" w:rsidR="003D0FCA" w:rsidRDefault="003D0FCA" w:rsidP="00D7201E">
      <w:pPr>
        <w:rPr>
          <w:noProof w:val="0"/>
        </w:rPr>
      </w:pPr>
      <w:r w:rsidRPr="003D0FCA">
        <w:rPr>
          <w:noProof w:val="0"/>
        </w:rPr>
        <w:t>According to the LS from RAN1</w:t>
      </w:r>
      <w:r>
        <w:rPr>
          <w:noProof w:val="0"/>
        </w:rPr>
        <w:t xml:space="preserve"> [3]</w:t>
      </w:r>
      <w:r w:rsidRPr="003D0FCA">
        <w:rPr>
          <w:noProof w:val="0"/>
        </w:rPr>
        <w:t xml:space="preserve">, they agreed to make the TCI state index in the cell switch mandatory. On the other hand, it is still FFS for the behavior of </w:t>
      </w:r>
      <w:r w:rsidR="00AB6434">
        <w:rPr>
          <w:noProof w:val="0"/>
        </w:rPr>
        <w:t xml:space="preserve">the </w:t>
      </w:r>
      <w:r w:rsidRPr="003D0FCA">
        <w:rPr>
          <w:noProof w:val="0"/>
        </w:rPr>
        <w:t>UE in RACH-based HO.</w:t>
      </w:r>
    </w:p>
    <w:p w14:paraId="4E0D0ECD" w14:textId="77777777" w:rsidR="00EB1218" w:rsidRPr="00EB1218" w:rsidRDefault="00EB1218" w:rsidP="00825E57">
      <w:pPr>
        <w:pStyle w:val="Web"/>
        <w:numPr>
          <w:ilvl w:val="0"/>
          <w:numId w:val="11"/>
        </w:numPr>
        <w:snapToGrid w:val="0"/>
        <w:spacing w:beforeLines="50" w:before="120" w:beforeAutospacing="0"/>
        <w:ind w:leftChars="193" w:left="849" w:hangingChars="212" w:hanging="424"/>
        <w:jc w:val="both"/>
        <w:rPr>
          <w:rFonts w:ascii="Arial" w:eastAsia="ＭＳ 明朝" w:hAnsi="Arial" w:cs="Arial"/>
          <w:noProof/>
          <w:sz w:val="20"/>
        </w:rPr>
      </w:pPr>
      <w:r w:rsidRPr="00EB1218">
        <w:rPr>
          <w:rFonts w:ascii="Arial" w:eastAsia="ＭＳ 明朝" w:hAnsi="Arial" w:cs="Arial"/>
          <w:noProof/>
          <w:sz w:val="20"/>
        </w:rPr>
        <w:t>A field to indicate 1 joint or 1 pair of UL and DL unified TCI State index for the target cell field is always present in the cell switch command.</w:t>
      </w:r>
    </w:p>
    <w:p w14:paraId="0002BE10" w14:textId="3D36D659" w:rsidR="003D0FCA" w:rsidRPr="003D0FCA" w:rsidRDefault="00EB1218" w:rsidP="00825E57">
      <w:pPr>
        <w:pStyle w:val="Web"/>
        <w:numPr>
          <w:ilvl w:val="0"/>
          <w:numId w:val="11"/>
        </w:numPr>
        <w:snapToGrid w:val="0"/>
        <w:spacing w:beforeLines="50" w:before="120" w:beforeAutospacing="0"/>
        <w:ind w:leftChars="193" w:left="849" w:hangingChars="212" w:hanging="424"/>
        <w:jc w:val="both"/>
        <w:rPr>
          <w:rFonts w:ascii="Arial" w:eastAsia="ＭＳ 明朝" w:hAnsi="Arial" w:cs="Arial"/>
          <w:noProof/>
          <w:sz w:val="20"/>
        </w:rPr>
      </w:pPr>
      <w:r w:rsidRPr="00EB1218">
        <w:rPr>
          <w:rFonts w:ascii="Arial" w:eastAsia="ＭＳ 明朝" w:hAnsi="Arial" w:cs="Arial"/>
          <w:noProof/>
          <w:sz w:val="20"/>
        </w:rPr>
        <w:t>FFS UE behaviour for the beam indication field for the RACH-based handover scenario after cell switch command</w:t>
      </w:r>
    </w:p>
    <w:p w14:paraId="37EB5067" w14:textId="170226A5" w:rsidR="00AB6434" w:rsidRDefault="00AB6434" w:rsidP="00D7201E">
      <w:pPr>
        <w:rPr>
          <w:noProof w:val="0"/>
          <w:lang w:val="en-GB"/>
        </w:rPr>
      </w:pPr>
      <w:r w:rsidRPr="00AB6434">
        <w:rPr>
          <w:noProof w:val="0"/>
          <w:lang w:val="en-GB"/>
        </w:rPr>
        <w:t xml:space="preserve">From the RAN3 perspective, this is a </w:t>
      </w:r>
      <w:r>
        <w:rPr>
          <w:noProof w:val="0"/>
          <w:lang w:val="en-GB"/>
        </w:rPr>
        <w:t>matter</w:t>
      </w:r>
      <w:r w:rsidRPr="00AB6434">
        <w:rPr>
          <w:noProof w:val="0"/>
          <w:lang w:val="en-GB"/>
        </w:rPr>
        <w:t xml:space="preserve"> of explicitly indicati</w:t>
      </w:r>
      <w:r>
        <w:rPr>
          <w:noProof w:val="0"/>
          <w:lang w:val="en-GB"/>
        </w:rPr>
        <w:t>on for</w:t>
      </w:r>
      <w:r w:rsidRPr="00AB6434">
        <w:rPr>
          <w:noProof w:val="0"/>
          <w:lang w:val="en-GB"/>
        </w:rPr>
        <w:t xml:space="preserve"> the TCI state configuration request (</w:t>
      </w:r>
      <w:r w:rsidR="0031151C">
        <w:rPr>
          <w:noProof w:val="0"/>
          <w:lang w:val="en-GB"/>
        </w:rPr>
        <w:t xml:space="preserve">same as </w:t>
      </w:r>
      <w:r w:rsidRPr="00AB6434">
        <w:rPr>
          <w:noProof w:val="0"/>
          <w:lang w:val="en-GB"/>
        </w:rPr>
        <w:t>PRACH resources) in step 3 of the procedure in the TP</w:t>
      </w:r>
      <w:r>
        <w:rPr>
          <w:noProof w:val="0"/>
          <w:lang w:val="en-GB"/>
        </w:rPr>
        <w:t xml:space="preserve"> [</w:t>
      </w:r>
      <w:r w:rsidR="00C93D4B">
        <w:rPr>
          <w:noProof w:val="0"/>
          <w:lang w:val="en-GB"/>
        </w:rPr>
        <w:t>4</w:t>
      </w:r>
      <w:r>
        <w:rPr>
          <w:noProof w:val="0"/>
          <w:lang w:val="en-GB"/>
        </w:rPr>
        <w:t>]</w:t>
      </w:r>
      <w:r w:rsidRPr="00AB6434">
        <w:rPr>
          <w:noProof w:val="0"/>
          <w:lang w:val="en-GB"/>
        </w:rPr>
        <w:t xml:space="preserve"> agreed in the previous </w:t>
      </w:r>
      <w:r w:rsidR="00C93D4B">
        <w:rPr>
          <w:noProof w:val="0"/>
          <w:lang w:val="en-GB"/>
        </w:rPr>
        <w:t xml:space="preserve">RAN3 </w:t>
      </w:r>
      <w:r w:rsidRPr="00AB6434">
        <w:rPr>
          <w:noProof w:val="0"/>
          <w:lang w:val="en-GB"/>
        </w:rPr>
        <w:t>meeting.</w:t>
      </w:r>
      <w:r w:rsidR="00E953D7">
        <w:rPr>
          <w:noProof w:val="0"/>
          <w:lang w:val="en-GB"/>
        </w:rPr>
        <w:t xml:space="preserve"> </w:t>
      </w:r>
      <w:r w:rsidR="00E953D7" w:rsidRPr="00E953D7">
        <w:rPr>
          <w:noProof w:val="0"/>
          <w:lang w:val="en-GB"/>
        </w:rPr>
        <w:t xml:space="preserve">Considering the above agreements, it </w:t>
      </w:r>
      <w:r w:rsidR="00E953D7">
        <w:rPr>
          <w:noProof w:val="0"/>
          <w:lang w:val="en-GB"/>
        </w:rPr>
        <w:t>could be</w:t>
      </w:r>
      <w:r w:rsidR="00E953D7" w:rsidRPr="00E953D7">
        <w:rPr>
          <w:noProof w:val="0"/>
          <w:lang w:val="en-GB"/>
        </w:rPr>
        <w:t xml:space="preserve"> beneficial to make it mandatory for </w:t>
      </w:r>
      <w:r w:rsidR="00E953D7">
        <w:rPr>
          <w:noProof w:val="0"/>
          <w:lang w:val="en-GB"/>
        </w:rPr>
        <w:t xml:space="preserve">the </w:t>
      </w:r>
      <w:r w:rsidR="00E953D7" w:rsidRPr="00E953D7">
        <w:rPr>
          <w:noProof w:val="0"/>
          <w:lang w:val="en-GB"/>
        </w:rPr>
        <w:t xml:space="preserve">CU to </w:t>
      </w:r>
      <w:r w:rsidR="00E953D7">
        <w:rPr>
          <w:noProof w:val="0"/>
          <w:lang w:val="en-GB"/>
        </w:rPr>
        <w:t>request</w:t>
      </w:r>
      <w:r w:rsidR="00E953D7" w:rsidRPr="00E953D7">
        <w:rPr>
          <w:noProof w:val="0"/>
          <w:lang w:val="en-GB"/>
        </w:rPr>
        <w:t xml:space="preserve"> TCI state configuration from candidate DU(s) in LTM preparation, even in the case of RACH-based HO.</w:t>
      </w:r>
      <w:r w:rsidR="00E953D7">
        <w:rPr>
          <w:noProof w:val="0"/>
          <w:lang w:val="en-GB"/>
        </w:rPr>
        <w:t xml:space="preserve"> However,</w:t>
      </w:r>
      <w:r w:rsidR="00E953D7" w:rsidRPr="00E953D7">
        <w:rPr>
          <w:noProof w:val="0"/>
          <w:lang w:val="en-GB"/>
        </w:rPr>
        <w:t xml:space="preserve"> we prefer to wait</w:t>
      </w:r>
      <w:r w:rsidR="00E953D7">
        <w:rPr>
          <w:noProof w:val="0"/>
          <w:lang w:val="en-GB"/>
        </w:rPr>
        <w:t xml:space="preserve"> for RAN1 decision for the FFS</w:t>
      </w:r>
      <w:r w:rsidR="00E953D7" w:rsidRPr="00E953D7">
        <w:rPr>
          <w:noProof w:val="0"/>
          <w:lang w:val="en-GB"/>
        </w:rPr>
        <w:t>.</w:t>
      </w:r>
    </w:p>
    <w:p w14:paraId="317A6441" w14:textId="54E4FCAC" w:rsidR="003D0FCA" w:rsidRDefault="003D0FCA" w:rsidP="003D0FCA">
      <w:pPr>
        <w:pStyle w:val="ProposalandObservation"/>
      </w:pPr>
      <w:r w:rsidRPr="00AB5A81">
        <w:t xml:space="preserve">Proposal </w:t>
      </w:r>
      <w:r>
        <w:t>2</w:t>
      </w:r>
      <w:r w:rsidRPr="00AB5A81">
        <w:t>:</w:t>
      </w:r>
      <w:r>
        <w:tab/>
      </w:r>
      <w:r w:rsidRPr="003D0FCA">
        <w:t>In Inter-LTM preparation, we can wait for the RAN1 decision on whether the CU explicitly requests the TCI state configuration.</w:t>
      </w:r>
    </w:p>
    <w:p w14:paraId="5161CAC2" w14:textId="77777777" w:rsidR="00933484" w:rsidRDefault="00933484" w:rsidP="00D7201E">
      <w:pPr>
        <w:rPr>
          <w:noProof w:val="0"/>
        </w:rPr>
      </w:pPr>
    </w:p>
    <w:p w14:paraId="0AA8DFBA" w14:textId="6D6DC403" w:rsidR="006506AA" w:rsidRDefault="006506AA" w:rsidP="006506AA">
      <w:pPr>
        <w:pStyle w:val="2"/>
        <w:rPr>
          <w:sz w:val="22"/>
          <w:szCs w:val="21"/>
        </w:rPr>
      </w:pPr>
      <w:r>
        <w:rPr>
          <w:sz w:val="22"/>
          <w:szCs w:val="21"/>
        </w:rPr>
        <w:t>Selected beam transfer</w:t>
      </w:r>
    </w:p>
    <w:p w14:paraId="64B68433" w14:textId="36236284" w:rsidR="00EB3C05" w:rsidRDefault="0026378D" w:rsidP="0026378D">
      <w:pPr>
        <w:rPr>
          <w:noProof w:val="0"/>
        </w:rPr>
      </w:pPr>
      <w:r w:rsidRPr="0026378D">
        <w:rPr>
          <w:noProof w:val="0"/>
        </w:rPr>
        <w:t xml:space="preserve">After the cell switch of the </w:t>
      </w:r>
      <w:r>
        <w:rPr>
          <w:noProof w:val="0"/>
        </w:rPr>
        <w:t>i</w:t>
      </w:r>
      <w:r w:rsidRPr="0026378D">
        <w:rPr>
          <w:noProof w:val="0"/>
        </w:rPr>
        <w:t>nter-DU LTM, the target DU needs to know the target cell ID and target TCI state configuration selected by the source DU.</w:t>
      </w:r>
      <w:r>
        <w:rPr>
          <w:noProof w:val="0"/>
        </w:rPr>
        <w:t xml:space="preserve"> </w:t>
      </w:r>
      <w:r w:rsidRPr="0026378D">
        <w:rPr>
          <w:noProof w:val="0"/>
        </w:rPr>
        <w:t xml:space="preserve">The TCI state configuration associated with the candidate cell </w:t>
      </w:r>
      <w:r>
        <w:rPr>
          <w:noProof w:val="0"/>
        </w:rPr>
        <w:t>corresponding</w:t>
      </w:r>
      <w:r w:rsidRPr="0026378D">
        <w:rPr>
          <w:noProof w:val="0"/>
        </w:rPr>
        <w:t xml:space="preserve"> to the target DU is generated by itself and </w:t>
      </w:r>
      <w:r>
        <w:rPr>
          <w:noProof w:val="0"/>
        </w:rPr>
        <w:t>configured</w:t>
      </w:r>
      <w:r w:rsidRPr="0026378D">
        <w:rPr>
          <w:noProof w:val="0"/>
        </w:rPr>
        <w:t xml:space="preserve"> to the UE via the CU.</w:t>
      </w:r>
      <w:r>
        <w:rPr>
          <w:noProof w:val="0"/>
        </w:rPr>
        <w:t xml:space="preserve"> </w:t>
      </w:r>
      <w:r w:rsidRPr="0026378D">
        <w:rPr>
          <w:noProof w:val="0"/>
        </w:rPr>
        <w:t xml:space="preserve">Since the TCI state ID is uniquely assigned among the candidate cells </w:t>
      </w:r>
      <w:r>
        <w:rPr>
          <w:noProof w:val="0"/>
        </w:rPr>
        <w:t>in</w:t>
      </w:r>
      <w:r w:rsidRPr="0026378D">
        <w:rPr>
          <w:noProof w:val="0"/>
        </w:rPr>
        <w:t xml:space="preserve"> the candidate DU, it is sufficient for the target DU to know only the TCI state ID selected by the source DU.</w:t>
      </w:r>
    </w:p>
    <w:p w14:paraId="6DFC1C4E" w14:textId="70971CB7" w:rsidR="006506AA" w:rsidRDefault="00BF2AB9" w:rsidP="0026378D">
      <w:pPr>
        <w:pStyle w:val="ProposalandObservation"/>
      </w:pPr>
      <w:r w:rsidRPr="00AB5A81">
        <w:t xml:space="preserve">Proposal </w:t>
      </w:r>
      <w:r w:rsidR="003D0FCA">
        <w:t>3</w:t>
      </w:r>
      <w:r w:rsidRPr="00AB5A81">
        <w:t>:</w:t>
      </w:r>
      <w:r>
        <w:tab/>
      </w:r>
      <w:r w:rsidRPr="00BF2AB9">
        <w:t xml:space="preserve">The source DU notifies the target DU via the CU of the selected TCI state </w:t>
      </w:r>
      <w:r w:rsidR="001F4FBA">
        <w:t>ID</w:t>
      </w:r>
      <w:r w:rsidRPr="00BF2AB9">
        <w:t>.</w:t>
      </w:r>
    </w:p>
    <w:p w14:paraId="1E290291" w14:textId="1EA45B83" w:rsidR="0026378D" w:rsidRDefault="0026378D" w:rsidP="00D7201E">
      <w:pPr>
        <w:rPr>
          <w:noProof w:val="0"/>
        </w:rPr>
      </w:pPr>
      <w:r w:rsidRPr="0026378D">
        <w:rPr>
          <w:noProof w:val="0"/>
        </w:rPr>
        <w:t xml:space="preserve">In the previous meeting, the following three options were </w:t>
      </w:r>
      <w:r>
        <w:rPr>
          <w:noProof w:val="0"/>
        </w:rPr>
        <w:t>raised</w:t>
      </w:r>
      <w:r w:rsidRPr="0026378D">
        <w:rPr>
          <w:noProof w:val="0"/>
        </w:rPr>
        <w:t xml:space="preserve"> as procedures to notify the selected beam and target cell ID from the </w:t>
      </w:r>
      <w:r>
        <w:rPr>
          <w:noProof w:val="0"/>
        </w:rPr>
        <w:t>source DU</w:t>
      </w:r>
      <w:r w:rsidRPr="0026378D">
        <w:rPr>
          <w:noProof w:val="0"/>
        </w:rPr>
        <w:t xml:space="preserve"> to the </w:t>
      </w:r>
      <w:r>
        <w:rPr>
          <w:noProof w:val="0"/>
        </w:rPr>
        <w:t xml:space="preserve">CU and from </w:t>
      </w:r>
      <w:r w:rsidRPr="0026378D">
        <w:rPr>
          <w:noProof w:val="0"/>
        </w:rPr>
        <w:t>the CU to the target DU.</w:t>
      </w:r>
    </w:p>
    <w:p w14:paraId="4740317B" w14:textId="3C8B1A4F" w:rsidR="006506AA" w:rsidRDefault="006506AA" w:rsidP="006506AA">
      <w:pPr>
        <w:ind w:leftChars="200" w:left="1701" w:hangingChars="573" w:hanging="1261"/>
        <w:rPr>
          <w:noProof w:val="0"/>
        </w:rPr>
      </w:pPr>
      <w:r>
        <w:rPr>
          <w:noProof w:val="0"/>
        </w:rPr>
        <w:t xml:space="preserve">Option 1:   </w:t>
      </w:r>
      <w:r>
        <w:rPr>
          <w:noProof w:val="0"/>
        </w:rPr>
        <w:tab/>
      </w:r>
      <w:r w:rsidRPr="006506AA">
        <w:rPr>
          <w:noProof w:val="0"/>
        </w:rPr>
        <w:t>Two new class 2 procedures with different name</w:t>
      </w:r>
      <w:r>
        <w:rPr>
          <w:noProof w:val="0"/>
        </w:rPr>
        <w:t xml:space="preserve">. </w:t>
      </w:r>
    </w:p>
    <w:p w14:paraId="04B728EF" w14:textId="5A9D9E05" w:rsidR="006506AA" w:rsidRDefault="006506AA" w:rsidP="006506AA">
      <w:pPr>
        <w:ind w:leftChars="200" w:left="1701" w:hangingChars="573" w:hanging="1261"/>
        <w:rPr>
          <w:noProof w:val="0"/>
        </w:rPr>
      </w:pPr>
      <w:r>
        <w:rPr>
          <w:noProof w:val="0"/>
        </w:rPr>
        <w:t xml:space="preserve">Option 2:   </w:t>
      </w:r>
      <w:r>
        <w:rPr>
          <w:noProof w:val="0"/>
        </w:rPr>
        <w:tab/>
      </w:r>
      <w:r w:rsidRPr="006506AA">
        <w:rPr>
          <w:noProof w:val="0"/>
        </w:rPr>
        <w:t>same new class 2 procedure</w:t>
      </w:r>
    </w:p>
    <w:p w14:paraId="08DB50C9" w14:textId="37AD3724" w:rsidR="006506AA" w:rsidRDefault="006506AA" w:rsidP="006506AA">
      <w:pPr>
        <w:ind w:leftChars="200" w:left="1701" w:hangingChars="573" w:hanging="1261"/>
        <w:rPr>
          <w:noProof w:val="0"/>
        </w:rPr>
      </w:pPr>
      <w:r>
        <w:rPr>
          <w:noProof w:val="0"/>
        </w:rPr>
        <w:t xml:space="preserve">Option 3:   </w:t>
      </w:r>
      <w:r>
        <w:rPr>
          <w:noProof w:val="0"/>
        </w:rPr>
        <w:tab/>
      </w:r>
      <w:r w:rsidRPr="006506AA">
        <w:rPr>
          <w:noProof w:val="0"/>
        </w:rPr>
        <w:t>class 1 procedure.</w:t>
      </w:r>
    </w:p>
    <w:p w14:paraId="4F323C75" w14:textId="1706C67E" w:rsidR="006506AA" w:rsidRPr="006506AA" w:rsidRDefault="0026378D" w:rsidP="0026378D">
      <w:pPr>
        <w:rPr>
          <w:noProof w:val="0"/>
        </w:rPr>
      </w:pPr>
      <w:r>
        <w:rPr>
          <w:noProof w:val="0"/>
        </w:rPr>
        <w:t>In LTM cell switch, there is currently no need to signal beam-related information from CU to target DU other than when the source DU notifies the selected target beam information.</w:t>
      </w:r>
      <w:r>
        <w:rPr>
          <w:rFonts w:hint="eastAsia"/>
          <w:noProof w:val="0"/>
        </w:rPr>
        <w:t xml:space="preserve"> </w:t>
      </w:r>
      <w:r>
        <w:rPr>
          <w:noProof w:val="0"/>
        </w:rPr>
        <w:t>Therefore, there is no need to separate these procedures, i.e., Option 2.</w:t>
      </w:r>
    </w:p>
    <w:p w14:paraId="4275CA75" w14:textId="5043E4F2" w:rsidR="00BF2AB9" w:rsidRDefault="00BF2AB9" w:rsidP="00BF2AB9">
      <w:pPr>
        <w:pStyle w:val="ProposalandObservation"/>
      </w:pPr>
      <w:r w:rsidRPr="00AB5A81">
        <w:lastRenderedPageBreak/>
        <w:t xml:space="preserve">Proposal </w:t>
      </w:r>
      <w:r w:rsidR="003D0FCA">
        <w:t>4</w:t>
      </w:r>
      <w:r w:rsidRPr="00AB5A81">
        <w:t>:</w:t>
      </w:r>
      <w:r>
        <w:tab/>
      </w:r>
      <w:r w:rsidRPr="00BF2AB9">
        <w:t xml:space="preserve">The CU sends the selected cell ID and beam information to the target DU in the same procedure as the LTM CELL CHANGE NOTIFICATION. </w:t>
      </w:r>
    </w:p>
    <w:p w14:paraId="2408BAB0" w14:textId="77777777" w:rsidR="006163A2" w:rsidRPr="00F86B13" w:rsidRDefault="006163A2" w:rsidP="00D7201E">
      <w:pPr>
        <w:rPr>
          <w:noProof w:val="0"/>
        </w:rPr>
      </w:pPr>
    </w:p>
    <w:p w14:paraId="348B4150" w14:textId="085486E7" w:rsidR="00366B56" w:rsidRPr="00EB5500" w:rsidRDefault="00192388">
      <w:pPr>
        <w:pStyle w:val="2"/>
        <w:rPr>
          <w:sz w:val="22"/>
          <w:szCs w:val="21"/>
        </w:rPr>
      </w:pPr>
      <w:r>
        <w:rPr>
          <w:sz w:val="22"/>
          <w:szCs w:val="21"/>
        </w:rPr>
        <w:t>TA management</w:t>
      </w:r>
    </w:p>
    <w:p w14:paraId="5EC1CAC4" w14:textId="5EFE8701" w:rsidR="0026378D" w:rsidRDefault="0026378D" w:rsidP="0026378D">
      <w:pPr>
        <w:rPr>
          <w:noProof w:val="0"/>
        </w:rPr>
      </w:pPr>
      <w:r>
        <w:rPr>
          <w:noProof w:val="0"/>
        </w:rPr>
        <w:t xml:space="preserve">TA validity is managed by the source DU, however in a subsequent LTM, the source DU is changing every execution of cell switch. Therefore, the source DU needs to transfer the </w:t>
      </w:r>
      <w:r w:rsidR="005915E9">
        <w:rPr>
          <w:rFonts w:hint="eastAsia"/>
          <w:noProof w:val="0"/>
        </w:rPr>
        <w:t>v</w:t>
      </w:r>
      <w:r w:rsidR="005915E9">
        <w:rPr>
          <w:noProof w:val="0"/>
        </w:rPr>
        <w:t>alid TA values</w:t>
      </w:r>
      <w:r>
        <w:rPr>
          <w:noProof w:val="0"/>
        </w:rPr>
        <w:t xml:space="preserve"> to the target DU. </w:t>
      </w:r>
      <w:r w:rsidRPr="0026378D">
        <w:rPr>
          <w:noProof w:val="0"/>
        </w:rPr>
        <w:t>There are two possible timing for signaling</w:t>
      </w:r>
      <w:r>
        <w:rPr>
          <w:noProof w:val="0"/>
        </w:rPr>
        <w:t>:</w:t>
      </w:r>
    </w:p>
    <w:p w14:paraId="1FFBFC6A" w14:textId="58EFE524" w:rsidR="0026378D" w:rsidRDefault="0026378D" w:rsidP="0026378D">
      <w:pPr>
        <w:ind w:firstLine="720"/>
        <w:rPr>
          <w:noProof w:val="0"/>
        </w:rPr>
      </w:pPr>
      <w:r>
        <w:rPr>
          <w:noProof w:val="0"/>
        </w:rPr>
        <w:t>Option 1: Right after cell switch trigger (i.e., LTM Cell Change Notification)</w:t>
      </w:r>
    </w:p>
    <w:p w14:paraId="0DD2B16E" w14:textId="210F2834" w:rsidR="0026378D" w:rsidRDefault="0026378D" w:rsidP="0026378D">
      <w:pPr>
        <w:rPr>
          <w:noProof w:val="0"/>
        </w:rPr>
      </w:pPr>
      <w:r>
        <w:rPr>
          <w:noProof w:val="0"/>
        </w:rPr>
        <w:tab/>
        <w:t>Option 2: After the UE establishes a connection to the target cell</w:t>
      </w:r>
    </w:p>
    <w:p w14:paraId="47AC12CE" w14:textId="01A7DE7D" w:rsidR="0026378D" w:rsidRDefault="0026378D" w:rsidP="0026378D">
      <w:pPr>
        <w:rPr>
          <w:noProof w:val="0"/>
        </w:rPr>
      </w:pPr>
      <w:r>
        <w:rPr>
          <w:noProof w:val="0"/>
        </w:rPr>
        <w:t>Both options are feasible. However in Option 2, after the cell switch is completed, either the UE context modification procedure is reused, a new TA Information Notify is reused, or a new procedure is introduced. Since either of these options may result in unnecessary round trips, thus Option 1 is more straight-forward.</w:t>
      </w:r>
    </w:p>
    <w:p w14:paraId="7688693E" w14:textId="0F93D805" w:rsidR="00C43549" w:rsidRPr="00C43549" w:rsidRDefault="00C43549" w:rsidP="00C43549">
      <w:pPr>
        <w:pStyle w:val="ProposalandObservation"/>
      </w:pPr>
      <w:r w:rsidRPr="00AB5A81">
        <w:t xml:space="preserve">Proposal </w:t>
      </w:r>
      <w:r w:rsidR="003D0FCA">
        <w:t>5</w:t>
      </w:r>
      <w:r w:rsidRPr="00AB5A81">
        <w:t>:</w:t>
      </w:r>
      <w:r>
        <w:tab/>
      </w:r>
      <w:r w:rsidRPr="00C43549">
        <w:t xml:space="preserve">Source DU forwards </w:t>
      </w:r>
      <w:r w:rsidR="005915E9">
        <w:t>valid TA values</w:t>
      </w:r>
      <w:r w:rsidRPr="00C43549">
        <w:t xml:space="preserve"> to target DU via CU with </w:t>
      </w:r>
      <w:r w:rsidRPr="00BF2AB9">
        <w:t>LTM CELL CHANGE NOTIFICATION</w:t>
      </w:r>
      <w:r w:rsidRPr="00C43549">
        <w:t>.</w:t>
      </w:r>
    </w:p>
    <w:p w14:paraId="32823E5C" w14:textId="77777777" w:rsidR="006163A2" w:rsidRDefault="006163A2" w:rsidP="00B07684">
      <w:pPr>
        <w:rPr>
          <w:noProof w:val="0"/>
          <w:sz w:val="18"/>
          <w:szCs w:val="20"/>
        </w:rPr>
      </w:pPr>
    </w:p>
    <w:p w14:paraId="63F81DF4" w14:textId="36191E39" w:rsidR="009256CE" w:rsidRPr="00EB5500" w:rsidRDefault="00CD42D3">
      <w:pPr>
        <w:pStyle w:val="2"/>
        <w:rPr>
          <w:sz w:val="22"/>
          <w:szCs w:val="21"/>
        </w:rPr>
      </w:pPr>
      <w:r>
        <w:rPr>
          <w:sz w:val="22"/>
          <w:szCs w:val="21"/>
        </w:rPr>
        <w:t>R</w:t>
      </w:r>
      <w:r w:rsidR="009256CE" w:rsidRPr="009256CE">
        <w:rPr>
          <w:sz w:val="22"/>
          <w:szCs w:val="21"/>
        </w:rPr>
        <w:t>eference configuration</w:t>
      </w:r>
    </w:p>
    <w:p w14:paraId="570408E3" w14:textId="73AB4426" w:rsidR="00314BD0" w:rsidRDefault="00314BD0" w:rsidP="00314BD0">
      <w:pPr>
        <w:rPr>
          <w:noProof w:val="0"/>
        </w:rPr>
      </w:pPr>
      <w:r>
        <w:rPr>
          <w:noProof w:val="0"/>
        </w:rPr>
        <w:t>The structure of the reference configuration depends on RAN2, however which node generates it depends on the RAN3 perspective. Which node generates it has an impact on the load to generate the configuration on the node, but does not have a significant impact on the signaling overhead. This is because it does not make a big difference between that the full configuration is sent in F1 signaling and that the reference configuration and delta configuration are sent separately. The procedure and analysis are described below:</w:t>
      </w:r>
    </w:p>
    <w:p w14:paraId="50D5D30A" w14:textId="4DADFC07" w:rsidR="00314BD0" w:rsidRPr="00314BD0" w:rsidRDefault="00314BD0">
      <w:pPr>
        <w:pStyle w:val="af1"/>
        <w:numPr>
          <w:ilvl w:val="0"/>
          <w:numId w:val="5"/>
        </w:numPr>
        <w:ind w:leftChars="0"/>
        <w:rPr>
          <w:rFonts w:ascii="Arial" w:hAnsi="Arial" w:cs="Arial"/>
          <w:noProof w:val="0"/>
        </w:rPr>
      </w:pPr>
      <w:r w:rsidRPr="00314BD0">
        <w:rPr>
          <w:rFonts w:ascii="Arial" w:hAnsi="Arial" w:cs="Arial"/>
          <w:noProof w:val="0"/>
        </w:rPr>
        <w:t xml:space="preserve">When DU generates reference config: </w:t>
      </w:r>
    </w:p>
    <w:p w14:paraId="360E1A06" w14:textId="5758A91E" w:rsidR="00314BD0" w:rsidRDefault="00314BD0" w:rsidP="00314BD0">
      <w:pPr>
        <w:ind w:leftChars="200" w:left="440"/>
        <w:rPr>
          <w:noProof w:val="0"/>
        </w:rPr>
      </w:pPr>
      <w:r>
        <w:rPr>
          <w:noProof w:val="0"/>
        </w:rPr>
        <w:t xml:space="preserve">DU generates reference config and delta config and sends them to the CU in UE Context Setup/Modification Response. The CU sends the reference config and delta config received from the DU to the UE as RRC Configuration. In inter-DU LTM, when the source DU generates the reference config and the </w:t>
      </w:r>
      <w:r w:rsidR="006D499B">
        <w:rPr>
          <w:noProof w:val="0"/>
        </w:rPr>
        <w:t>candidate</w:t>
      </w:r>
      <w:r>
        <w:rPr>
          <w:noProof w:val="0"/>
        </w:rPr>
        <w:t xml:space="preserve"> DU</w:t>
      </w:r>
      <w:r w:rsidR="006D499B">
        <w:rPr>
          <w:noProof w:val="0"/>
        </w:rPr>
        <w:t>s</w:t>
      </w:r>
      <w:r>
        <w:rPr>
          <w:noProof w:val="0"/>
        </w:rPr>
        <w:t xml:space="preserve"> generate the delta config, or when the </w:t>
      </w:r>
      <w:r w:rsidR="006D499B">
        <w:rPr>
          <w:noProof w:val="0"/>
        </w:rPr>
        <w:t>candidate</w:t>
      </w:r>
      <w:r>
        <w:rPr>
          <w:noProof w:val="0"/>
        </w:rPr>
        <w:t xml:space="preserve"> DU generates the reference config and the source DU</w:t>
      </w:r>
      <w:r w:rsidR="006D499B">
        <w:rPr>
          <w:noProof w:val="0"/>
        </w:rPr>
        <w:t xml:space="preserve"> and other candidate DUs</w:t>
      </w:r>
      <w:r>
        <w:rPr>
          <w:noProof w:val="0"/>
        </w:rPr>
        <w:t xml:space="preserve"> generates the delta config (i.e. part of the candidate cell belongs to the source DU), the reference config needs to be sent through the CU to the </w:t>
      </w:r>
      <w:r w:rsidR="006D499B">
        <w:rPr>
          <w:noProof w:val="0"/>
        </w:rPr>
        <w:t>candidate</w:t>
      </w:r>
      <w:r>
        <w:rPr>
          <w:noProof w:val="0"/>
        </w:rPr>
        <w:t xml:space="preserve"> DU</w:t>
      </w:r>
      <w:r w:rsidR="006D499B">
        <w:rPr>
          <w:noProof w:val="0"/>
        </w:rPr>
        <w:t>s</w:t>
      </w:r>
      <w:r>
        <w:rPr>
          <w:noProof w:val="0"/>
        </w:rPr>
        <w:t xml:space="preserve"> </w:t>
      </w:r>
      <w:r w:rsidR="006D499B">
        <w:rPr>
          <w:noProof w:val="0"/>
        </w:rPr>
        <w:t>and/</w:t>
      </w:r>
      <w:r>
        <w:rPr>
          <w:noProof w:val="0"/>
        </w:rPr>
        <w:t>or source DU on F1 interface. A</w:t>
      </w:r>
      <w:r w:rsidRPr="00314BD0">
        <w:rPr>
          <w:noProof w:val="0"/>
        </w:rPr>
        <w:t xml:space="preserve"> load on the CU to generate config is small, a load on the DU</w:t>
      </w:r>
      <w:r w:rsidR="006D499B">
        <w:rPr>
          <w:noProof w:val="0"/>
        </w:rPr>
        <w:t>s</w:t>
      </w:r>
      <w:r w:rsidRPr="00314BD0">
        <w:rPr>
          <w:noProof w:val="0"/>
        </w:rPr>
        <w:t xml:space="preserve"> to generate config </w:t>
      </w:r>
      <w:r w:rsidR="006D499B">
        <w:rPr>
          <w:noProof w:val="0"/>
        </w:rPr>
        <w:t>are</w:t>
      </w:r>
      <w:r w:rsidRPr="00314BD0">
        <w:rPr>
          <w:noProof w:val="0"/>
        </w:rPr>
        <w:t xml:space="preserve"> larger.</w:t>
      </w:r>
    </w:p>
    <w:p w14:paraId="56092787" w14:textId="4EC00793" w:rsidR="00314BD0" w:rsidRPr="00314BD0" w:rsidRDefault="00314BD0">
      <w:pPr>
        <w:pStyle w:val="af1"/>
        <w:numPr>
          <w:ilvl w:val="0"/>
          <w:numId w:val="7"/>
        </w:numPr>
        <w:ind w:leftChars="0"/>
        <w:rPr>
          <w:rFonts w:ascii="Arial" w:hAnsi="Arial" w:cs="Arial"/>
          <w:noProof w:val="0"/>
        </w:rPr>
      </w:pPr>
      <w:r w:rsidRPr="00314BD0">
        <w:rPr>
          <w:rFonts w:ascii="Arial" w:hAnsi="Arial" w:cs="Arial"/>
          <w:noProof w:val="0"/>
        </w:rPr>
        <w:t xml:space="preserve">When CU generates reference config: </w:t>
      </w:r>
    </w:p>
    <w:p w14:paraId="383E4D98" w14:textId="263752E7" w:rsidR="00314BD0" w:rsidRDefault="00314BD0" w:rsidP="00314BD0">
      <w:pPr>
        <w:ind w:leftChars="200" w:left="440"/>
        <w:rPr>
          <w:noProof w:val="0"/>
        </w:rPr>
      </w:pPr>
      <w:r>
        <w:rPr>
          <w:noProof w:val="0"/>
        </w:rPr>
        <w:t>One way is for all DUs to send the full configuration to the CU in the UE Context Setup/Modification Response, and the CU generates the reference config and delta config from the received config. In another way, the CU first generates the reference config (e.g. based on the serving cell config) and sends it to the DU</w:t>
      </w:r>
      <w:r w:rsidR="006D499B">
        <w:rPr>
          <w:noProof w:val="0"/>
        </w:rPr>
        <w:t>s</w:t>
      </w:r>
      <w:r>
        <w:rPr>
          <w:noProof w:val="0"/>
        </w:rPr>
        <w:t xml:space="preserve"> in the UE Context Setup/Modification Request, and the DU</w:t>
      </w:r>
      <w:r w:rsidR="006D499B">
        <w:rPr>
          <w:noProof w:val="0"/>
        </w:rPr>
        <w:t>s</w:t>
      </w:r>
      <w:r>
        <w:rPr>
          <w:noProof w:val="0"/>
        </w:rPr>
        <w:t xml:space="preserve"> send the delta config in the Response message. A</w:t>
      </w:r>
      <w:r w:rsidRPr="00314BD0">
        <w:rPr>
          <w:noProof w:val="0"/>
        </w:rPr>
        <w:t xml:space="preserve"> load on the CU to generate config is large, a load on the DU to generate config is small.</w:t>
      </w:r>
    </w:p>
    <w:p w14:paraId="2D5EADCC" w14:textId="5D408C59" w:rsidR="00314BD0" w:rsidRDefault="00314BD0" w:rsidP="00314BD0">
      <w:pPr>
        <w:pStyle w:val="ProposalandObservation"/>
      </w:pPr>
      <w:r w:rsidRPr="00BF5240">
        <w:t xml:space="preserve">Observation </w:t>
      </w:r>
      <w:r w:rsidR="005751DF">
        <w:t>1</w:t>
      </w:r>
      <w:r w:rsidRPr="00AB5A81">
        <w:t>:</w:t>
      </w:r>
      <w:r>
        <w:tab/>
      </w:r>
      <w:r w:rsidRPr="00314BD0">
        <w:t>Which node generates the reference configuration affects the load on the NW node:</w:t>
      </w:r>
    </w:p>
    <w:p w14:paraId="36DD93D8" w14:textId="291620EB" w:rsidR="00314BD0" w:rsidRDefault="00314BD0">
      <w:pPr>
        <w:pStyle w:val="ProposalandObservation"/>
        <w:numPr>
          <w:ilvl w:val="4"/>
          <w:numId w:val="8"/>
        </w:numPr>
        <w:ind w:leftChars="709" w:left="1843" w:hangingChars="128" w:hanging="283"/>
      </w:pPr>
      <w:r>
        <w:t>When DU generates reference config: CU's load to generate config is smaller, DU's load to generate config is larger.</w:t>
      </w:r>
    </w:p>
    <w:p w14:paraId="453B1886" w14:textId="6D7D83E2" w:rsidR="00314BD0" w:rsidRDefault="00314BD0">
      <w:pPr>
        <w:pStyle w:val="ProposalandObservation"/>
        <w:numPr>
          <w:ilvl w:val="4"/>
          <w:numId w:val="8"/>
        </w:numPr>
        <w:ind w:leftChars="709" w:left="1843" w:hangingChars="128" w:hanging="283"/>
      </w:pPr>
      <w:r>
        <w:t>When CU generates reference config: CU's load to generate config is larger, DU's load to generate config is smaller.</w:t>
      </w:r>
    </w:p>
    <w:p w14:paraId="07289EF4" w14:textId="6BCFFE02" w:rsidR="00314BD0" w:rsidRDefault="00314BD0" w:rsidP="00314BD0">
      <w:pPr>
        <w:pStyle w:val="ProposalandObservation"/>
      </w:pPr>
      <w:r w:rsidRPr="00BF5240">
        <w:t xml:space="preserve">Observation </w:t>
      </w:r>
      <w:r w:rsidR="005751DF">
        <w:t>2</w:t>
      </w:r>
      <w:r w:rsidRPr="00AB5A81">
        <w:t>:</w:t>
      </w:r>
      <w:r>
        <w:tab/>
      </w:r>
      <w:r w:rsidRPr="00314BD0">
        <w:t>Signaling overhead does not much depending on which node generates the reference configuration</w:t>
      </w:r>
      <w:r w:rsidRPr="00AB5A81">
        <w:t xml:space="preserve">. </w:t>
      </w:r>
    </w:p>
    <w:p w14:paraId="25507F73" w14:textId="77777777" w:rsidR="00825E57" w:rsidRDefault="00825E57" w:rsidP="00314BD0">
      <w:pPr>
        <w:pStyle w:val="ProposalandObservation"/>
      </w:pPr>
    </w:p>
    <w:p w14:paraId="6CACF135" w14:textId="531E06EA" w:rsidR="00314BD0" w:rsidRDefault="00314BD0" w:rsidP="00314BD0">
      <w:pPr>
        <w:pStyle w:val="ProposalandObservation"/>
      </w:pPr>
      <w:r w:rsidRPr="00AB5A81">
        <w:lastRenderedPageBreak/>
        <w:t xml:space="preserve">Proposal </w:t>
      </w:r>
      <w:r w:rsidR="003D0FCA">
        <w:t>6</w:t>
      </w:r>
      <w:r w:rsidRPr="00AB5A81">
        <w:t>:</w:t>
      </w:r>
      <w:r>
        <w:tab/>
      </w:r>
      <w:r w:rsidRPr="00314BD0">
        <w:t>RAN3 should support a method to generate reference configurations in either of the following ways:</w:t>
      </w:r>
    </w:p>
    <w:p w14:paraId="7329FDE2" w14:textId="615C18AC" w:rsidR="00314BD0" w:rsidRDefault="00291C41" w:rsidP="00291C41">
      <w:pPr>
        <w:pStyle w:val="ProposalandObservation"/>
        <w:ind w:leftChars="710" w:left="2551" w:hangingChars="448" w:hanging="989"/>
      </w:pPr>
      <w:r>
        <w:t xml:space="preserve">Option 1: </w:t>
      </w:r>
      <w:r>
        <w:tab/>
      </w:r>
      <w:r w:rsidRPr="00291C41">
        <w:t>The DU generates reference config and delta config, and sends them to the CU. The CU combines those configurations and generates the RRCReconfiguration to be configured to the UE.</w:t>
      </w:r>
    </w:p>
    <w:p w14:paraId="2CFDCBBA" w14:textId="252B7938" w:rsidR="00314BD0" w:rsidRDefault="00291C41" w:rsidP="00291C41">
      <w:pPr>
        <w:pStyle w:val="ProposalandObservation"/>
        <w:ind w:leftChars="710" w:left="2551" w:hangingChars="448" w:hanging="989"/>
      </w:pPr>
      <w:r>
        <w:t xml:space="preserve">Option 2: </w:t>
      </w:r>
      <w:r>
        <w:tab/>
      </w:r>
      <w:r w:rsidRPr="00291C41">
        <w:t>The DU(s) send the full configuration to the CU, and the CU generates the reference config and delta config based on the received config</w:t>
      </w:r>
      <w:r w:rsidR="00314BD0">
        <w:t>.</w:t>
      </w:r>
    </w:p>
    <w:p w14:paraId="7ED3BEB6" w14:textId="1085AF85" w:rsidR="00291C41" w:rsidRPr="00291C41" w:rsidRDefault="00291C41" w:rsidP="00291C41">
      <w:pPr>
        <w:pStyle w:val="ProposalandObservation"/>
        <w:ind w:left="2" w:firstLineChars="0" w:firstLine="0"/>
        <w:rPr>
          <w:b w:val="0"/>
          <w:bCs w:val="0"/>
        </w:rPr>
      </w:pPr>
      <w:r w:rsidRPr="00291C41">
        <w:rPr>
          <w:b w:val="0"/>
          <w:bCs w:val="0"/>
        </w:rPr>
        <w:t>Considering the computing power to generate reference configurations, we think it is better that the CU performs such tasks to avoid unnecessary load on the DUs, so we prefer a way to generate reference and delta configurations at the CUs, i.e., option 2.</w:t>
      </w:r>
    </w:p>
    <w:p w14:paraId="66FEC08A" w14:textId="7E8317D0" w:rsidR="00291C41" w:rsidRDefault="00291C41" w:rsidP="00291C41">
      <w:pPr>
        <w:pStyle w:val="ProposalandObservation"/>
      </w:pPr>
      <w:r w:rsidRPr="00AB5A81">
        <w:t xml:space="preserve">Proposal </w:t>
      </w:r>
      <w:r w:rsidR="003D0FCA">
        <w:t>7</w:t>
      </w:r>
      <w:r w:rsidRPr="00AB5A81">
        <w:t>:</w:t>
      </w:r>
      <w:r>
        <w:tab/>
      </w:r>
      <w:r w:rsidRPr="00291C41">
        <w:t>RAN3 should support option 2 to generate reference configuration using legacy F1 messages (e.g. UE Context Setup/Modification messages).</w:t>
      </w:r>
    </w:p>
    <w:p w14:paraId="4D40BF58" w14:textId="6D875F89" w:rsidR="00E250A8" w:rsidRPr="008D2440" w:rsidRDefault="00FD4706">
      <w:pPr>
        <w:pStyle w:val="1"/>
        <w:rPr>
          <w:noProof w:val="0"/>
        </w:rPr>
      </w:pPr>
      <w:r w:rsidRPr="008D2440">
        <w:rPr>
          <w:noProof w:val="0"/>
        </w:rPr>
        <w:t xml:space="preserve">Conclusions and </w:t>
      </w:r>
      <w:r w:rsidR="005937FE">
        <w:rPr>
          <w:noProof w:val="0"/>
        </w:rPr>
        <w:t>proposal</w:t>
      </w:r>
      <w:r w:rsidR="00981CB7" w:rsidRPr="008D2440">
        <w:rPr>
          <w:noProof w:val="0"/>
        </w:rPr>
        <w:t>s</w:t>
      </w:r>
    </w:p>
    <w:p w14:paraId="47F97D11" w14:textId="3E5A32E0" w:rsidR="00A5395E" w:rsidRDefault="00981CB7" w:rsidP="00A5395E">
      <w:pPr>
        <w:rPr>
          <w:noProof w:val="0"/>
        </w:rPr>
      </w:pPr>
      <w:r w:rsidRPr="008D2440">
        <w:rPr>
          <w:noProof w:val="0"/>
        </w:rPr>
        <w:t>Our</w:t>
      </w:r>
      <w:r w:rsidR="00C82EC5" w:rsidRPr="008D2440">
        <w:rPr>
          <w:noProof w:val="0"/>
        </w:rPr>
        <w:t xml:space="preserve"> </w:t>
      </w:r>
      <w:r w:rsidR="00947D7C">
        <w:rPr>
          <w:noProof w:val="0"/>
        </w:rPr>
        <w:t>observation</w:t>
      </w:r>
      <w:r w:rsidR="00C82EC5" w:rsidRPr="008D2440">
        <w:rPr>
          <w:noProof w:val="0"/>
        </w:rPr>
        <w:t>s</w:t>
      </w:r>
      <w:r w:rsidR="00FD1BE2">
        <w:rPr>
          <w:noProof w:val="0"/>
        </w:rPr>
        <w:t xml:space="preserve"> and proposals</w:t>
      </w:r>
      <w:r w:rsidR="00C82EC5" w:rsidRPr="008D2440">
        <w:rPr>
          <w:noProof w:val="0"/>
        </w:rPr>
        <w:t xml:space="preserve"> are summarized below.</w:t>
      </w:r>
    </w:p>
    <w:p w14:paraId="692BAC10" w14:textId="77777777" w:rsidR="00933484" w:rsidRPr="00AB5A81" w:rsidRDefault="00933484" w:rsidP="00933484">
      <w:pPr>
        <w:pStyle w:val="ProposalandObservation"/>
      </w:pPr>
      <w:r w:rsidRPr="00AB5A81">
        <w:t xml:space="preserve">Proposal </w:t>
      </w:r>
      <w:r>
        <w:t>1</w:t>
      </w:r>
      <w:r w:rsidRPr="00AB5A81">
        <w:t>:</w:t>
      </w:r>
      <w:r>
        <w:tab/>
      </w:r>
      <w:r w:rsidRPr="00F86B13">
        <w:t>Approach 1 shall be the baseline, while the support of Approach 2 could be up to the network implementation without any specification impact.</w:t>
      </w:r>
    </w:p>
    <w:p w14:paraId="73E3508F" w14:textId="77777777" w:rsidR="00124874" w:rsidRDefault="00124874" w:rsidP="00124874">
      <w:pPr>
        <w:pStyle w:val="ProposalandObservation"/>
      </w:pPr>
      <w:r w:rsidRPr="00AB5A81">
        <w:t xml:space="preserve">Proposal </w:t>
      </w:r>
      <w:r>
        <w:t>2</w:t>
      </w:r>
      <w:r w:rsidRPr="00AB5A81">
        <w:t>:</w:t>
      </w:r>
      <w:r>
        <w:tab/>
      </w:r>
      <w:r w:rsidRPr="003D0FCA">
        <w:t>In Inter-LTM preparation, we can wait for the RAN1 decision on whether the CU explicitly requests the TCI state configuration.</w:t>
      </w:r>
    </w:p>
    <w:p w14:paraId="0FD78DEC" w14:textId="77777777" w:rsidR="00124874" w:rsidRDefault="00124874" w:rsidP="00124874">
      <w:pPr>
        <w:pStyle w:val="ProposalandObservation"/>
      </w:pPr>
      <w:r w:rsidRPr="00AB5A81">
        <w:t xml:space="preserve">Proposal </w:t>
      </w:r>
      <w:r>
        <w:t>3</w:t>
      </w:r>
      <w:r w:rsidRPr="00AB5A81">
        <w:t>:</w:t>
      </w:r>
      <w:r>
        <w:tab/>
      </w:r>
      <w:r w:rsidRPr="00BF2AB9">
        <w:t xml:space="preserve">The source DU notifies the target DU via the CU of the selected TCI state </w:t>
      </w:r>
      <w:r>
        <w:t>ID</w:t>
      </w:r>
      <w:r w:rsidRPr="00BF2AB9">
        <w:t>.</w:t>
      </w:r>
    </w:p>
    <w:p w14:paraId="64F1C514" w14:textId="77777777" w:rsidR="00124874" w:rsidRDefault="00124874" w:rsidP="00124874">
      <w:pPr>
        <w:pStyle w:val="ProposalandObservation"/>
      </w:pPr>
      <w:r w:rsidRPr="00AB5A81">
        <w:t xml:space="preserve">Proposal </w:t>
      </w:r>
      <w:r>
        <w:t>4</w:t>
      </w:r>
      <w:r w:rsidRPr="00AB5A81">
        <w:t>:</w:t>
      </w:r>
      <w:r>
        <w:tab/>
      </w:r>
      <w:r w:rsidRPr="00BF2AB9">
        <w:t xml:space="preserve">The CU sends the selected cell ID and beam information to the target DU in the same procedure as the LTM CELL CHANGE NOTIFICATION. </w:t>
      </w:r>
    </w:p>
    <w:p w14:paraId="6579AA22" w14:textId="77777777" w:rsidR="0051341C" w:rsidRPr="00C43549" w:rsidRDefault="0051341C" w:rsidP="0051341C">
      <w:pPr>
        <w:pStyle w:val="ProposalandObservation"/>
      </w:pPr>
      <w:r w:rsidRPr="00AB5A81">
        <w:t xml:space="preserve">Proposal </w:t>
      </w:r>
      <w:r>
        <w:t>5</w:t>
      </w:r>
      <w:r w:rsidRPr="00AB5A81">
        <w:t>:</w:t>
      </w:r>
      <w:r>
        <w:tab/>
      </w:r>
      <w:r w:rsidRPr="00C43549">
        <w:t xml:space="preserve">Source DU forwards </w:t>
      </w:r>
      <w:r>
        <w:t>valid TA values</w:t>
      </w:r>
      <w:r w:rsidRPr="00C43549">
        <w:t xml:space="preserve"> to target DU via CU with </w:t>
      </w:r>
      <w:r w:rsidRPr="00BF2AB9">
        <w:t>LTM CELL CHANGE NOTIFICATION</w:t>
      </w:r>
      <w:r w:rsidRPr="00C43549">
        <w:t>.</w:t>
      </w:r>
    </w:p>
    <w:p w14:paraId="57F28D87" w14:textId="77777777" w:rsidR="00124874" w:rsidRDefault="00124874" w:rsidP="00124874">
      <w:pPr>
        <w:pStyle w:val="ProposalandObservation"/>
      </w:pPr>
      <w:r w:rsidRPr="00BF5240">
        <w:t xml:space="preserve">Observation </w:t>
      </w:r>
      <w:r>
        <w:t>1</w:t>
      </w:r>
      <w:r w:rsidRPr="00AB5A81">
        <w:t>:</w:t>
      </w:r>
      <w:r>
        <w:tab/>
      </w:r>
      <w:r w:rsidRPr="00314BD0">
        <w:t>Which node generates the reference configuration affects the load on the NW node:</w:t>
      </w:r>
    </w:p>
    <w:p w14:paraId="0F2C4B6A" w14:textId="77777777" w:rsidR="00124874" w:rsidRDefault="00124874" w:rsidP="00124874">
      <w:pPr>
        <w:pStyle w:val="ProposalandObservation"/>
        <w:numPr>
          <w:ilvl w:val="4"/>
          <w:numId w:val="8"/>
        </w:numPr>
        <w:ind w:leftChars="709" w:left="1843" w:hangingChars="128" w:hanging="283"/>
      </w:pPr>
      <w:r>
        <w:t>When DU generates reference config: CU's load to generate config is smaller, DU's load to generate config is larger.</w:t>
      </w:r>
    </w:p>
    <w:p w14:paraId="3155E40C" w14:textId="77777777" w:rsidR="00124874" w:rsidRDefault="00124874" w:rsidP="00124874">
      <w:pPr>
        <w:pStyle w:val="ProposalandObservation"/>
        <w:numPr>
          <w:ilvl w:val="4"/>
          <w:numId w:val="8"/>
        </w:numPr>
        <w:ind w:leftChars="709" w:left="1843" w:hangingChars="128" w:hanging="283"/>
      </w:pPr>
      <w:r>
        <w:t>When CU generates reference config: CU's load to generate config is larger, DU's load to generate config is smaller.</w:t>
      </w:r>
    </w:p>
    <w:p w14:paraId="471A5F39" w14:textId="77777777" w:rsidR="00124874" w:rsidRDefault="00124874" w:rsidP="00124874">
      <w:pPr>
        <w:pStyle w:val="ProposalandObservation"/>
      </w:pPr>
      <w:r w:rsidRPr="00BF5240">
        <w:t xml:space="preserve">Observation </w:t>
      </w:r>
      <w:r>
        <w:t>2</w:t>
      </w:r>
      <w:r w:rsidRPr="00AB5A81">
        <w:t>:</w:t>
      </w:r>
      <w:r>
        <w:tab/>
      </w:r>
      <w:r w:rsidRPr="00314BD0">
        <w:t>Signaling overhead does not much depending on which node generates the reference configuration</w:t>
      </w:r>
      <w:r w:rsidRPr="00AB5A81">
        <w:t xml:space="preserve">. </w:t>
      </w:r>
    </w:p>
    <w:p w14:paraId="4DDE3D47" w14:textId="77777777" w:rsidR="00124874" w:rsidRDefault="00124874" w:rsidP="00124874">
      <w:pPr>
        <w:pStyle w:val="ProposalandObservation"/>
      </w:pPr>
      <w:r w:rsidRPr="00AB5A81">
        <w:t xml:space="preserve">Proposal </w:t>
      </w:r>
      <w:r>
        <w:t>6</w:t>
      </w:r>
      <w:r w:rsidRPr="00AB5A81">
        <w:t>:</w:t>
      </w:r>
      <w:r>
        <w:tab/>
      </w:r>
      <w:r w:rsidRPr="00314BD0">
        <w:t>RAN3 should support a method to generate reference configurations in either of the following ways:</w:t>
      </w:r>
    </w:p>
    <w:p w14:paraId="61E1AD99" w14:textId="77777777" w:rsidR="00124874" w:rsidRDefault="00124874" w:rsidP="00124874">
      <w:pPr>
        <w:pStyle w:val="ProposalandObservation"/>
        <w:ind w:leftChars="710" w:left="2551" w:hangingChars="448" w:hanging="989"/>
      </w:pPr>
      <w:r>
        <w:t xml:space="preserve">Option 1: </w:t>
      </w:r>
      <w:r>
        <w:tab/>
      </w:r>
      <w:r w:rsidRPr="00291C41">
        <w:t>The DU generates reference config and delta config, and sends them to the CU. The CU combines those configurations and generates the RRCReconfiguration to be configured to the UE.</w:t>
      </w:r>
    </w:p>
    <w:p w14:paraId="29CDBA7F" w14:textId="77777777" w:rsidR="00124874" w:rsidRDefault="00124874" w:rsidP="00124874">
      <w:pPr>
        <w:pStyle w:val="ProposalandObservation"/>
        <w:ind w:leftChars="710" w:left="2551" w:hangingChars="448" w:hanging="989"/>
      </w:pPr>
      <w:r>
        <w:t xml:space="preserve">Option 2: </w:t>
      </w:r>
      <w:r>
        <w:tab/>
      </w:r>
      <w:r w:rsidRPr="00291C41">
        <w:t>The DU(s) send the full configuration to the CU, and the CU generates the reference config and delta config based on the received config</w:t>
      </w:r>
      <w:r>
        <w:t>.</w:t>
      </w:r>
    </w:p>
    <w:p w14:paraId="2C032F9F" w14:textId="77777777" w:rsidR="00124874" w:rsidRDefault="00124874" w:rsidP="00124874">
      <w:pPr>
        <w:pStyle w:val="ProposalandObservation"/>
      </w:pPr>
      <w:r w:rsidRPr="00AB5A81">
        <w:t xml:space="preserve">Proposal </w:t>
      </w:r>
      <w:r>
        <w:t>7</w:t>
      </w:r>
      <w:r w:rsidRPr="00AB5A81">
        <w:t>:</w:t>
      </w:r>
      <w:r>
        <w:tab/>
      </w:r>
      <w:r w:rsidRPr="00291C41">
        <w:t>RAN3 should support option 2 to generate reference configuration using legacy F1 messages (e.g. UE Context Setup/Modification messages).</w:t>
      </w:r>
    </w:p>
    <w:p w14:paraId="3DC77093" w14:textId="702A4ED4" w:rsidR="00933484" w:rsidRPr="00124874" w:rsidRDefault="00933484" w:rsidP="00933484">
      <w:pPr>
        <w:pStyle w:val="ProposalandObservation"/>
      </w:pPr>
    </w:p>
    <w:p w14:paraId="2846A10D" w14:textId="67F305AE" w:rsidR="001B38BD" w:rsidRPr="00933484" w:rsidRDefault="001B38BD" w:rsidP="001B38BD">
      <w:pPr>
        <w:pStyle w:val="ProposalandObservation"/>
        <w:ind w:left="1223" w:hanging="1223"/>
        <w:rPr>
          <w:sz w:val="18"/>
          <w:szCs w:val="20"/>
        </w:rPr>
      </w:pPr>
    </w:p>
    <w:p w14:paraId="500AB41F" w14:textId="77777777" w:rsidR="001E42B7" w:rsidRDefault="001E42B7">
      <w:pPr>
        <w:pStyle w:val="1"/>
        <w:rPr>
          <w:noProof w:val="0"/>
        </w:rPr>
      </w:pPr>
      <w:r>
        <w:rPr>
          <w:noProof w:val="0"/>
        </w:rPr>
        <w:lastRenderedPageBreak/>
        <w:t>References</w:t>
      </w:r>
    </w:p>
    <w:p w14:paraId="45ACF396" w14:textId="140CFCD0" w:rsidR="001E42B7" w:rsidRDefault="001E42B7">
      <w:pPr>
        <w:pStyle w:val="Reference"/>
        <w:numPr>
          <w:ilvl w:val="0"/>
          <w:numId w:val="9"/>
        </w:numPr>
        <w:rPr>
          <w:noProof w:val="0"/>
        </w:rPr>
      </w:pPr>
      <w:r w:rsidRPr="001E42B7">
        <w:t>R3-230889</w:t>
      </w:r>
      <w:r w:rsidR="007E56C4">
        <w:t>, “</w:t>
      </w:r>
      <w:r w:rsidR="007E56C4" w:rsidRPr="007E56C4">
        <w:t>LS on Approaches during execution for inter-DU LTM</w:t>
      </w:r>
      <w:r w:rsidR="007E56C4">
        <w:t xml:space="preserve"> (to RAN1)”</w:t>
      </w:r>
      <w:r>
        <w:t xml:space="preserve"> .</w:t>
      </w:r>
    </w:p>
    <w:p w14:paraId="170991AB" w14:textId="52654C88" w:rsidR="001E42B7" w:rsidRDefault="00AF387A">
      <w:pPr>
        <w:pStyle w:val="Reference"/>
        <w:numPr>
          <w:ilvl w:val="0"/>
          <w:numId w:val="9"/>
        </w:numPr>
        <w:rPr>
          <w:noProof w:val="0"/>
        </w:rPr>
      </w:pPr>
      <w:r w:rsidRPr="00AF387A">
        <w:t>R3-235014</w:t>
      </w:r>
      <w:r w:rsidR="001E42B7">
        <w:t>, “</w:t>
      </w:r>
      <w:r w:rsidRPr="00AF387A">
        <w:t>Reply LS on Approaches during execution for inter-DU LTM</w:t>
      </w:r>
      <w:r w:rsidR="001E42B7">
        <w:t>”</w:t>
      </w:r>
      <w:r w:rsidR="003D0FCA">
        <w:t>.</w:t>
      </w:r>
    </w:p>
    <w:p w14:paraId="65260E3B" w14:textId="2331BB2B" w:rsidR="001E42B7" w:rsidRDefault="003D0FCA">
      <w:pPr>
        <w:pStyle w:val="Reference"/>
        <w:numPr>
          <w:ilvl w:val="0"/>
          <w:numId w:val="9"/>
        </w:numPr>
        <w:rPr>
          <w:noProof w:val="0"/>
        </w:rPr>
      </w:pPr>
      <w:r w:rsidRPr="003D0FCA">
        <w:rPr>
          <w:noProof w:val="0"/>
        </w:rPr>
        <w:t>R3-235008</w:t>
      </w:r>
      <w:r w:rsidR="001E42B7">
        <w:rPr>
          <w:noProof w:val="0"/>
        </w:rPr>
        <w:t>, “</w:t>
      </w:r>
      <w:r w:rsidRPr="003D0FCA">
        <w:t>LS on L1 measurement and TA management for LTM</w:t>
      </w:r>
      <w:r w:rsidR="001E42B7">
        <w:rPr>
          <w:noProof w:val="0"/>
        </w:rPr>
        <w:t>”.</w:t>
      </w:r>
    </w:p>
    <w:p w14:paraId="45E62089" w14:textId="4298C5D2" w:rsidR="00C93D4B" w:rsidRDefault="00C93D4B">
      <w:pPr>
        <w:pStyle w:val="Reference"/>
        <w:numPr>
          <w:ilvl w:val="0"/>
          <w:numId w:val="9"/>
        </w:numPr>
        <w:rPr>
          <w:noProof w:val="0"/>
        </w:rPr>
      </w:pPr>
      <w:r w:rsidRPr="00C93D4B">
        <w:rPr>
          <w:noProof w:val="0"/>
        </w:rPr>
        <w:t>R3-234758</w:t>
      </w:r>
      <w:r>
        <w:rPr>
          <w:noProof w:val="0"/>
        </w:rPr>
        <w:t>, “</w:t>
      </w:r>
      <w:r w:rsidRPr="00C93D4B">
        <w:rPr>
          <w:noProof w:val="0"/>
        </w:rPr>
        <w:t>(TP for L1L2Mob BLCR for TS 38.401): Inter-DU LTM procedure update</w:t>
      </w:r>
      <w:r>
        <w:rPr>
          <w:noProof w:val="0"/>
        </w:rPr>
        <w:t>”.</w:t>
      </w:r>
    </w:p>
    <w:p w14:paraId="1E1B72C0" w14:textId="77777777" w:rsidR="00EB7847" w:rsidRPr="001E42B7" w:rsidRDefault="00EB7847" w:rsidP="00B07684">
      <w:pPr>
        <w:pStyle w:val="ProposalandObservation"/>
        <w:ind w:left="0" w:firstLineChars="0" w:firstLine="0"/>
      </w:pPr>
    </w:p>
    <w:sectPr w:rsidR="00EB7847" w:rsidRPr="001E42B7" w:rsidSect="005273B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3E44C" w14:textId="77777777" w:rsidR="00B44B73" w:rsidRDefault="00B44B73" w:rsidP="00277AAD">
      <w:pPr>
        <w:spacing w:after="0"/>
      </w:pPr>
      <w:r>
        <w:separator/>
      </w:r>
    </w:p>
  </w:endnote>
  <w:endnote w:type="continuationSeparator" w:id="0">
    <w:p w14:paraId="313FB38E" w14:textId="77777777" w:rsidR="00B44B73" w:rsidRDefault="00B44B73" w:rsidP="00277AAD">
      <w:pPr>
        <w:spacing w:after="0"/>
      </w:pPr>
      <w:r>
        <w:continuationSeparator/>
      </w:r>
    </w:p>
  </w:endnote>
  <w:endnote w:type="continuationNotice" w:id="1">
    <w:p w14:paraId="46996F03" w14:textId="77777777" w:rsidR="00B44B73" w:rsidRDefault="00B44B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9FCE7" w14:textId="77777777" w:rsidR="00B44B73" w:rsidRDefault="00B44B73" w:rsidP="00277AAD">
      <w:pPr>
        <w:spacing w:after="0"/>
      </w:pPr>
      <w:r>
        <w:separator/>
      </w:r>
    </w:p>
  </w:footnote>
  <w:footnote w:type="continuationSeparator" w:id="0">
    <w:p w14:paraId="135CC75D" w14:textId="77777777" w:rsidR="00B44B73" w:rsidRDefault="00B44B73" w:rsidP="00277AAD">
      <w:pPr>
        <w:spacing w:after="0"/>
      </w:pPr>
      <w:r>
        <w:continuationSeparator/>
      </w:r>
    </w:p>
  </w:footnote>
  <w:footnote w:type="continuationNotice" w:id="1">
    <w:p w14:paraId="16E6CD6A" w14:textId="77777777" w:rsidR="00B44B73" w:rsidRDefault="00B44B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3F30"/>
    <w:multiLevelType w:val="multilevel"/>
    <w:tmpl w:val="04073F30"/>
    <w:lvl w:ilvl="0">
      <w:start w:val="1"/>
      <w:numFmt w:val="bullet"/>
      <w:lvlText w:val=""/>
      <w:lvlJc w:val="left"/>
      <w:pPr>
        <w:ind w:left="840" w:hanging="480"/>
      </w:pPr>
      <w:rPr>
        <w:rFonts w:ascii="Symbol" w:hAnsi="Symbol" w:hint="default"/>
      </w:rPr>
    </w:lvl>
    <w:lvl w:ilvl="1">
      <w:start w:val="1"/>
      <w:numFmt w:val="bullet"/>
      <w:lvlText w:val=""/>
      <w:lvlJc w:val="left"/>
      <w:pPr>
        <w:ind w:left="480" w:hanging="480"/>
      </w:pPr>
      <w:rPr>
        <w:rFonts w:ascii="Wingdings" w:hAnsi="Wingdings" w:hint="default"/>
      </w:rPr>
    </w:lvl>
    <w:lvl w:ilvl="2">
      <w:start w:val="1"/>
      <w:numFmt w:val="bullet"/>
      <w:lvlText w:val=""/>
      <w:lvlJc w:val="left"/>
      <w:pPr>
        <w:ind w:left="960" w:hanging="480"/>
      </w:pPr>
      <w:rPr>
        <w:rFonts w:ascii="Wingdings" w:hAnsi="Wingdings" w:hint="default"/>
      </w:rPr>
    </w:lvl>
    <w:lvl w:ilvl="3">
      <w:start w:val="1"/>
      <w:numFmt w:val="bullet"/>
      <w:lvlText w:val=""/>
      <w:lvlJc w:val="left"/>
      <w:pPr>
        <w:ind w:left="1440" w:hanging="480"/>
      </w:pPr>
      <w:rPr>
        <w:rFonts w:ascii="Wingdings" w:hAnsi="Wingdings" w:hint="default"/>
      </w:rPr>
    </w:lvl>
    <w:lvl w:ilvl="4">
      <w:start w:val="1"/>
      <w:numFmt w:val="bullet"/>
      <w:lvlText w:val=""/>
      <w:lvlJc w:val="left"/>
      <w:pPr>
        <w:ind w:left="1920" w:hanging="480"/>
      </w:pPr>
      <w:rPr>
        <w:rFonts w:ascii="Wingdings" w:hAnsi="Wingdings" w:hint="default"/>
      </w:rPr>
    </w:lvl>
    <w:lvl w:ilvl="5">
      <w:start w:val="1"/>
      <w:numFmt w:val="bullet"/>
      <w:lvlText w:val=""/>
      <w:lvlJc w:val="left"/>
      <w:pPr>
        <w:ind w:left="2400" w:hanging="480"/>
      </w:pPr>
      <w:rPr>
        <w:rFonts w:ascii="Wingdings" w:hAnsi="Wingdings" w:hint="default"/>
      </w:rPr>
    </w:lvl>
    <w:lvl w:ilvl="6">
      <w:start w:val="1"/>
      <w:numFmt w:val="bullet"/>
      <w:lvlText w:val=""/>
      <w:lvlJc w:val="left"/>
      <w:pPr>
        <w:ind w:left="2880" w:hanging="480"/>
      </w:pPr>
      <w:rPr>
        <w:rFonts w:ascii="Wingdings" w:hAnsi="Wingdings" w:hint="default"/>
      </w:rPr>
    </w:lvl>
    <w:lvl w:ilvl="7">
      <w:start w:val="1"/>
      <w:numFmt w:val="bullet"/>
      <w:lvlText w:val=""/>
      <w:lvlJc w:val="left"/>
      <w:pPr>
        <w:ind w:left="3360" w:hanging="480"/>
      </w:pPr>
      <w:rPr>
        <w:rFonts w:ascii="Wingdings" w:hAnsi="Wingdings" w:hint="default"/>
      </w:rPr>
    </w:lvl>
    <w:lvl w:ilvl="8">
      <w:start w:val="1"/>
      <w:numFmt w:val="bullet"/>
      <w:lvlText w:val=""/>
      <w:lvlJc w:val="left"/>
      <w:pPr>
        <w:ind w:left="3840" w:hanging="480"/>
      </w:pPr>
      <w:rPr>
        <w:rFonts w:ascii="Wingdings" w:hAnsi="Wingdings" w:hint="default"/>
      </w:rPr>
    </w:lvl>
  </w:abstractNum>
  <w:abstractNum w:abstractNumId="1"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5"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8" w15:restartNumberingAfterBreak="0">
    <w:nsid w:val="7165012B"/>
    <w:multiLevelType w:val="multilevel"/>
    <w:tmpl w:val="7165012B"/>
    <w:lvl w:ilvl="0">
      <w:start w:val="1"/>
      <w:numFmt w:val="bullet"/>
      <w:lvlText w:val=""/>
      <w:lvlJc w:val="left"/>
      <w:pPr>
        <w:ind w:left="5830" w:hanging="360"/>
      </w:pPr>
      <w:rPr>
        <w:rFonts w:ascii="Symbol" w:hAnsi="Symbol" w:hint="default"/>
      </w:rPr>
    </w:lvl>
    <w:lvl w:ilvl="1">
      <w:start w:val="1"/>
      <w:numFmt w:val="bullet"/>
      <w:lvlText w:val="o"/>
      <w:lvlJc w:val="left"/>
      <w:pPr>
        <w:ind w:left="6550" w:hanging="360"/>
      </w:pPr>
      <w:rPr>
        <w:rFonts w:ascii="Courier New" w:hAnsi="Courier New" w:cs="Courier New" w:hint="default"/>
      </w:rPr>
    </w:lvl>
    <w:lvl w:ilvl="2">
      <w:start w:val="1"/>
      <w:numFmt w:val="bullet"/>
      <w:lvlText w:val=""/>
      <w:lvlJc w:val="left"/>
      <w:pPr>
        <w:ind w:left="7270" w:hanging="360"/>
      </w:pPr>
      <w:rPr>
        <w:rFonts w:ascii="Wingdings" w:hAnsi="Wingdings" w:hint="default"/>
      </w:rPr>
    </w:lvl>
    <w:lvl w:ilvl="3">
      <w:start w:val="1"/>
      <w:numFmt w:val="bullet"/>
      <w:lvlText w:val=""/>
      <w:lvlJc w:val="left"/>
      <w:pPr>
        <w:ind w:left="7990" w:hanging="360"/>
      </w:pPr>
      <w:rPr>
        <w:rFonts w:ascii="Symbol" w:hAnsi="Symbol" w:hint="default"/>
      </w:rPr>
    </w:lvl>
    <w:lvl w:ilvl="4">
      <w:start w:val="1"/>
      <w:numFmt w:val="bullet"/>
      <w:lvlText w:val="o"/>
      <w:lvlJc w:val="left"/>
      <w:pPr>
        <w:ind w:left="8710" w:hanging="360"/>
      </w:pPr>
      <w:rPr>
        <w:rFonts w:ascii="Courier New" w:hAnsi="Courier New" w:cs="Courier New" w:hint="default"/>
      </w:rPr>
    </w:lvl>
    <w:lvl w:ilvl="5">
      <w:start w:val="1"/>
      <w:numFmt w:val="bullet"/>
      <w:lvlText w:val=""/>
      <w:lvlJc w:val="left"/>
      <w:pPr>
        <w:ind w:left="9430" w:hanging="360"/>
      </w:pPr>
      <w:rPr>
        <w:rFonts w:ascii="Wingdings" w:hAnsi="Wingdings" w:hint="default"/>
      </w:rPr>
    </w:lvl>
    <w:lvl w:ilvl="6">
      <w:start w:val="1"/>
      <w:numFmt w:val="bullet"/>
      <w:lvlText w:val=""/>
      <w:lvlJc w:val="left"/>
      <w:pPr>
        <w:ind w:left="10150" w:hanging="360"/>
      </w:pPr>
      <w:rPr>
        <w:rFonts w:ascii="Symbol" w:hAnsi="Symbol" w:hint="default"/>
      </w:rPr>
    </w:lvl>
    <w:lvl w:ilvl="7">
      <w:start w:val="1"/>
      <w:numFmt w:val="bullet"/>
      <w:lvlText w:val="o"/>
      <w:lvlJc w:val="left"/>
      <w:pPr>
        <w:ind w:left="10870" w:hanging="360"/>
      </w:pPr>
      <w:rPr>
        <w:rFonts w:ascii="Courier New" w:hAnsi="Courier New" w:cs="Courier New" w:hint="default"/>
      </w:rPr>
    </w:lvl>
    <w:lvl w:ilvl="8">
      <w:start w:val="1"/>
      <w:numFmt w:val="bullet"/>
      <w:lvlText w:val=""/>
      <w:lvlJc w:val="left"/>
      <w:pPr>
        <w:ind w:left="11590" w:hanging="360"/>
      </w:pPr>
      <w:rPr>
        <w:rFonts w:ascii="Wingdings" w:hAnsi="Wingdings" w:hint="default"/>
      </w:rPr>
    </w:lvl>
  </w:abstractNum>
  <w:abstractNum w:abstractNumId="9"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91944702">
    <w:abstractNumId w:val="1"/>
  </w:num>
  <w:num w:numId="2" w16cid:durableId="1664817144">
    <w:abstractNumId w:val="5"/>
  </w:num>
  <w:num w:numId="3" w16cid:durableId="1242643675">
    <w:abstractNumId w:val="3"/>
  </w:num>
  <w:num w:numId="4" w16cid:durableId="753162537">
    <w:abstractNumId w:val="4"/>
  </w:num>
  <w:num w:numId="5" w16cid:durableId="1944871865">
    <w:abstractNumId w:val="9"/>
  </w:num>
  <w:num w:numId="6" w16cid:durableId="586352714">
    <w:abstractNumId w:val="7"/>
  </w:num>
  <w:num w:numId="7" w16cid:durableId="1696693084">
    <w:abstractNumId w:val="6"/>
  </w:num>
  <w:num w:numId="8" w16cid:durableId="1734739883">
    <w:abstractNumId w:val="2"/>
  </w:num>
  <w:num w:numId="9" w16cid:durableId="7864643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227403">
    <w:abstractNumId w:val="0"/>
  </w:num>
  <w:num w:numId="11" w16cid:durableId="1972897555">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26177"/>
    <w:rsid w:val="00027173"/>
    <w:rsid w:val="000272AB"/>
    <w:rsid w:val="00030C1D"/>
    <w:rsid w:val="0004327D"/>
    <w:rsid w:val="000447AC"/>
    <w:rsid w:val="00050A81"/>
    <w:rsid w:val="00057BF9"/>
    <w:rsid w:val="000713E2"/>
    <w:rsid w:val="00075461"/>
    <w:rsid w:val="00077A38"/>
    <w:rsid w:val="00080B65"/>
    <w:rsid w:val="0008505A"/>
    <w:rsid w:val="00085AA4"/>
    <w:rsid w:val="000937B4"/>
    <w:rsid w:val="000A6ED3"/>
    <w:rsid w:val="000A6F7B"/>
    <w:rsid w:val="000C0578"/>
    <w:rsid w:val="000C32B5"/>
    <w:rsid w:val="000C5230"/>
    <w:rsid w:val="000C6DCD"/>
    <w:rsid w:val="000D43B1"/>
    <w:rsid w:val="000D6B91"/>
    <w:rsid w:val="000E1E27"/>
    <w:rsid w:val="000E51FE"/>
    <w:rsid w:val="000F0002"/>
    <w:rsid w:val="000F1B6D"/>
    <w:rsid w:val="000F5D5E"/>
    <w:rsid w:val="00100216"/>
    <w:rsid w:val="00103FD0"/>
    <w:rsid w:val="00117773"/>
    <w:rsid w:val="00120F8D"/>
    <w:rsid w:val="00124874"/>
    <w:rsid w:val="0013001D"/>
    <w:rsid w:val="0013416C"/>
    <w:rsid w:val="00142BCE"/>
    <w:rsid w:val="0014525B"/>
    <w:rsid w:val="001453C1"/>
    <w:rsid w:val="00147296"/>
    <w:rsid w:val="00150F48"/>
    <w:rsid w:val="00153462"/>
    <w:rsid w:val="001540CF"/>
    <w:rsid w:val="00161F97"/>
    <w:rsid w:val="00174608"/>
    <w:rsid w:val="001824D7"/>
    <w:rsid w:val="001920C1"/>
    <w:rsid w:val="00192388"/>
    <w:rsid w:val="00196EEA"/>
    <w:rsid w:val="001A2D65"/>
    <w:rsid w:val="001A3CA6"/>
    <w:rsid w:val="001A4D97"/>
    <w:rsid w:val="001B38BD"/>
    <w:rsid w:val="001C15BD"/>
    <w:rsid w:val="001C3300"/>
    <w:rsid w:val="001C78EB"/>
    <w:rsid w:val="001D2B3A"/>
    <w:rsid w:val="001D6802"/>
    <w:rsid w:val="001E0168"/>
    <w:rsid w:val="001E0497"/>
    <w:rsid w:val="001E42B7"/>
    <w:rsid w:val="001E4CF4"/>
    <w:rsid w:val="001E6021"/>
    <w:rsid w:val="001F39CD"/>
    <w:rsid w:val="001F4FBA"/>
    <w:rsid w:val="00206111"/>
    <w:rsid w:val="00210DE0"/>
    <w:rsid w:val="00213AE4"/>
    <w:rsid w:val="002233E3"/>
    <w:rsid w:val="0022475E"/>
    <w:rsid w:val="00225BDF"/>
    <w:rsid w:val="00231B09"/>
    <w:rsid w:val="00240E97"/>
    <w:rsid w:val="00244BD5"/>
    <w:rsid w:val="00245D82"/>
    <w:rsid w:val="00250B34"/>
    <w:rsid w:val="00254977"/>
    <w:rsid w:val="002562D2"/>
    <w:rsid w:val="0026062C"/>
    <w:rsid w:val="00260842"/>
    <w:rsid w:val="0026378D"/>
    <w:rsid w:val="002641D8"/>
    <w:rsid w:val="002651DA"/>
    <w:rsid w:val="0027446D"/>
    <w:rsid w:val="00277AAD"/>
    <w:rsid w:val="00280A86"/>
    <w:rsid w:val="00291C41"/>
    <w:rsid w:val="002A391C"/>
    <w:rsid w:val="002B3029"/>
    <w:rsid w:val="002B39AB"/>
    <w:rsid w:val="002C1385"/>
    <w:rsid w:val="002C5F98"/>
    <w:rsid w:val="002C777A"/>
    <w:rsid w:val="002D0C73"/>
    <w:rsid w:val="002D1BA9"/>
    <w:rsid w:val="002D3C03"/>
    <w:rsid w:val="002D3DA0"/>
    <w:rsid w:val="002E134B"/>
    <w:rsid w:val="002E40EF"/>
    <w:rsid w:val="002E51E5"/>
    <w:rsid w:val="002F0D7D"/>
    <w:rsid w:val="002F4247"/>
    <w:rsid w:val="002F7ECB"/>
    <w:rsid w:val="00302688"/>
    <w:rsid w:val="00302C9F"/>
    <w:rsid w:val="00304EB8"/>
    <w:rsid w:val="00305EFD"/>
    <w:rsid w:val="00306401"/>
    <w:rsid w:val="00306936"/>
    <w:rsid w:val="0031151C"/>
    <w:rsid w:val="00312032"/>
    <w:rsid w:val="0031219C"/>
    <w:rsid w:val="00312544"/>
    <w:rsid w:val="0031481E"/>
    <w:rsid w:val="00314BD0"/>
    <w:rsid w:val="003168E6"/>
    <w:rsid w:val="00320EC5"/>
    <w:rsid w:val="00327D85"/>
    <w:rsid w:val="003316FE"/>
    <w:rsid w:val="00332BBC"/>
    <w:rsid w:val="003344F3"/>
    <w:rsid w:val="00347C0A"/>
    <w:rsid w:val="00366B56"/>
    <w:rsid w:val="00367F5E"/>
    <w:rsid w:val="00375D4F"/>
    <w:rsid w:val="00376F83"/>
    <w:rsid w:val="003A5224"/>
    <w:rsid w:val="003A5F2E"/>
    <w:rsid w:val="003A693A"/>
    <w:rsid w:val="003A79AB"/>
    <w:rsid w:val="003A7E6D"/>
    <w:rsid w:val="003B163E"/>
    <w:rsid w:val="003B4345"/>
    <w:rsid w:val="003C0424"/>
    <w:rsid w:val="003C0C42"/>
    <w:rsid w:val="003C2CBD"/>
    <w:rsid w:val="003C4151"/>
    <w:rsid w:val="003D0C62"/>
    <w:rsid w:val="003D0FCA"/>
    <w:rsid w:val="003D3A36"/>
    <w:rsid w:val="003D459A"/>
    <w:rsid w:val="003E3732"/>
    <w:rsid w:val="003E3B30"/>
    <w:rsid w:val="003E5341"/>
    <w:rsid w:val="003E6FC6"/>
    <w:rsid w:val="003E7731"/>
    <w:rsid w:val="00410E8D"/>
    <w:rsid w:val="00413D81"/>
    <w:rsid w:val="0042082E"/>
    <w:rsid w:val="00427743"/>
    <w:rsid w:val="00436293"/>
    <w:rsid w:val="00445FCE"/>
    <w:rsid w:val="00450702"/>
    <w:rsid w:val="00451AB2"/>
    <w:rsid w:val="00452CF0"/>
    <w:rsid w:val="004769BB"/>
    <w:rsid w:val="00481C15"/>
    <w:rsid w:val="00481C6D"/>
    <w:rsid w:val="00485C54"/>
    <w:rsid w:val="00487384"/>
    <w:rsid w:val="004901C7"/>
    <w:rsid w:val="00492325"/>
    <w:rsid w:val="004C1DA6"/>
    <w:rsid w:val="004C2854"/>
    <w:rsid w:val="004D0A65"/>
    <w:rsid w:val="004E4A1C"/>
    <w:rsid w:val="004E67B2"/>
    <w:rsid w:val="004F1A79"/>
    <w:rsid w:val="004F23D9"/>
    <w:rsid w:val="004F42FB"/>
    <w:rsid w:val="00501B8D"/>
    <w:rsid w:val="00502083"/>
    <w:rsid w:val="00503A8D"/>
    <w:rsid w:val="00507E2B"/>
    <w:rsid w:val="00512A7C"/>
    <w:rsid w:val="0051341C"/>
    <w:rsid w:val="0051397E"/>
    <w:rsid w:val="005147D7"/>
    <w:rsid w:val="0051536C"/>
    <w:rsid w:val="0051621C"/>
    <w:rsid w:val="0052175E"/>
    <w:rsid w:val="0053263A"/>
    <w:rsid w:val="00545F75"/>
    <w:rsid w:val="00547AB5"/>
    <w:rsid w:val="00551443"/>
    <w:rsid w:val="00552672"/>
    <w:rsid w:val="005549B8"/>
    <w:rsid w:val="00556425"/>
    <w:rsid w:val="00556E00"/>
    <w:rsid w:val="005605B7"/>
    <w:rsid w:val="005745A4"/>
    <w:rsid w:val="005751DF"/>
    <w:rsid w:val="00576C21"/>
    <w:rsid w:val="0058009D"/>
    <w:rsid w:val="005809F6"/>
    <w:rsid w:val="00585A8F"/>
    <w:rsid w:val="00585DED"/>
    <w:rsid w:val="00587BFF"/>
    <w:rsid w:val="005915E9"/>
    <w:rsid w:val="00591985"/>
    <w:rsid w:val="00592A29"/>
    <w:rsid w:val="0059362B"/>
    <w:rsid w:val="005937FE"/>
    <w:rsid w:val="005A3078"/>
    <w:rsid w:val="005B1CAC"/>
    <w:rsid w:val="005B43FF"/>
    <w:rsid w:val="005B6353"/>
    <w:rsid w:val="005C43AF"/>
    <w:rsid w:val="005C57B6"/>
    <w:rsid w:val="005D7A30"/>
    <w:rsid w:val="005E00E8"/>
    <w:rsid w:val="005E2BEC"/>
    <w:rsid w:val="005E30CD"/>
    <w:rsid w:val="005F50CF"/>
    <w:rsid w:val="00601EA7"/>
    <w:rsid w:val="006040BD"/>
    <w:rsid w:val="006163A2"/>
    <w:rsid w:val="00622627"/>
    <w:rsid w:val="00622D99"/>
    <w:rsid w:val="00650641"/>
    <w:rsid w:val="006506AA"/>
    <w:rsid w:val="0065072C"/>
    <w:rsid w:val="00651B2A"/>
    <w:rsid w:val="006535DD"/>
    <w:rsid w:val="00653B0D"/>
    <w:rsid w:val="00653BAD"/>
    <w:rsid w:val="00660ABD"/>
    <w:rsid w:val="00660AD1"/>
    <w:rsid w:val="00666B36"/>
    <w:rsid w:val="00667B25"/>
    <w:rsid w:val="00671056"/>
    <w:rsid w:val="00674144"/>
    <w:rsid w:val="006761C5"/>
    <w:rsid w:val="0067636F"/>
    <w:rsid w:val="006803B0"/>
    <w:rsid w:val="0068074A"/>
    <w:rsid w:val="00684D84"/>
    <w:rsid w:val="006A3A54"/>
    <w:rsid w:val="006B17C9"/>
    <w:rsid w:val="006B2BA8"/>
    <w:rsid w:val="006B3F0B"/>
    <w:rsid w:val="006C3A5A"/>
    <w:rsid w:val="006C598E"/>
    <w:rsid w:val="006D1688"/>
    <w:rsid w:val="006D1CC4"/>
    <w:rsid w:val="006D499B"/>
    <w:rsid w:val="006D766A"/>
    <w:rsid w:val="006D774A"/>
    <w:rsid w:val="006E48D6"/>
    <w:rsid w:val="006F4940"/>
    <w:rsid w:val="006F4B81"/>
    <w:rsid w:val="0070108C"/>
    <w:rsid w:val="00716359"/>
    <w:rsid w:val="00730BA1"/>
    <w:rsid w:val="007344AC"/>
    <w:rsid w:val="00734C67"/>
    <w:rsid w:val="0074094A"/>
    <w:rsid w:val="0074308E"/>
    <w:rsid w:val="0074580F"/>
    <w:rsid w:val="007461FE"/>
    <w:rsid w:val="0075186D"/>
    <w:rsid w:val="00752444"/>
    <w:rsid w:val="00761D18"/>
    <w:rsid w:val="00763CFB"/>
    <w:rsid w:val="00782555"/>
    <w:rsid w:val="007871A4"/>
    <w:rsid w:val="007A62A9"/>
    <w:rsid w:val="007A7127"/>
    <w:rsid w:val="007A7D78"/>
    <w:rsid w:val="007B27FE"/>
    <w:rsid w:val="007B3D2A"/>
    <w:rsid w:val="007C0300"/>
    <w:rsid w:val="007C08D4"/>
    <w:rsid w:val="007C2B40"/>
    <w:rsid w:val="007C5560"/>
    <w:rsid w:val="007C7627"/>
    <w:rsid w:val="007D3925"/>
    <w:rsid w:val="007D6512"/>
    <w:rsid w:val="007E2ACF"/>
    <w:rsid w:val="007E56C4"/>
    <w:rsid w:val="007F0647"/>
    <w:rsid w:val="007F0D71"/>
    <w:rsid w:val="007F31F0"/>
    <w:rsid w:val="007F6119"/>
    <w:rsid w:val="007F6408"/>
    <w:rsid w:val="00801B89"/>
    <w:rsid w:val="00807936"/>
    <w:rsid w:val="00812EF6"/>
    <w:rsid w:val="008145CD"/>
    <w:rsid w:val="00816AE8"/>
    <w:rsid w:val="00825E57"/>
    <w:rsid w:val="00826896"/>
    <w:rsid w:val="0083437A"/>
    <w:rsid w:val="00845537"/>
    <w:rsid w:val="00852F7C"/>
    <w:rsid w:val="008641BF"/>
    <w:rsid w:val="00871B8C"/>
    <w:rsid w:val="008861F2"/>
    <w:rsid w:val="00893D3A"/>
    <w:rsid w:val="008A1390"/>
    <w:rsid w:val="008D116E"/>
    <w:rsid w:val="008D2440"/>
    <w:rsid w:val="008D2FD6"/>
    <w:rsid w:val="008D3FB0"/>
    <w:rsid w:val="008D5EE7"/>
    <w:rsid w:val="008D75BA"/>
    <w:rsid w:val="008E2309"/>
    <w:rsid w:val="008F49CE"/>
    <w:rsid w:val="008F5BDE"/>
    <w:rsid w:val="009134F8"/>
    <w:rsid w:val="0092485E"/>
    <w:rsid w:val="009256CE"/>
    <w:rsid w:val="009257E4"/>
    <w:rsid w:val="00925ED1"/>
    <w:rsid w:val="00930A5D"/>
    <w:rsid w:val="00930EE4"/>
    <w:rsid w:val="00932F29"/>
    <w:rsid w:val="0093331C"/>
    <w:rsid w:val="00933484"/>
    <w:rsid w:val="00933FC9"/>
    <w:rsid w:val="0094007D"/>
    <w:rsid w:val="00942214"/>
    <w:rsid w:val="00946939"/>
    <w:rsid w:val="00947D7C"/>
    <w:rsid w:val="00955CF1"/>
    <w:rsid w:val="0096724E"/>
    <w:rsid w:val="0097382B"/>
    <w:rsid w:val="009738B3"/>
    <w:rsid w:val="00974378"/>
    <w:rsid w:val="00981CB7"/>
    <w:rsid w:val="00981EFF"/>
    <w:rsid w:val="009849DC"/>
    <w:rsid w:val="00993E95"/>
    <w:rsid w:val="009A1130"/>
    <w:rsid w:val="009A41AC"/>
    <w:rsid w:val="009A5844"/>
    <w:rsid w:val="009A6208"/>
    <w:rsid w:val="009A7209"/>
    <w:rsid w:val="009B0B09"/>
    <w:rsid w:val="009C01BD"/>
    <w:rsid w:val="009C0295"/>
    <w:rsid w:val="009C6A73"/>
    <w:rsid w:val="009E1EBC"/>
    <w:rsid w:val="009F3101"/>
    <w:rsid w:val="009F523A"/>
    <w:rsid w:val="009F6E28"/>
    <w:rsid w:val="00A13493"/>
    <w:rsid w:val="00A2096D"/>
    <w:rsid w:val="00A36CD6"/>
    <w:rsid w:val="00A40685"/>
    <w:rsid w:val="00A443E2"/>
    <w:rsid w:val="00A44957"/>
    <w:rsid w:val="00A534E4"/>
    <w:rsid w:val="00A5395E"/>
    <w:rsid w:val="00A72DBD"/>
    <w:rsid w:val="00A736D6"/>
    <w:rsid w:val="00A75003"/>
    <w:rsid w:val="00A7642F"/>
    <w:rsid w:val="00A76714"/>
    <w:rsid w:val="00A83370"/>
    <w:rsid w:val="00A83A46"/>
    <w:rsid w:val="00A914CF"/>
    <w:rsid w:val="00A931FF"/>
    <w:rsid w:val="00A967CC"/>
    <w:rsid w:val="00AB5A81"/>
    <w:rsid w:val="00AB6434"/>
    <w:rsid w:val="00AB65CB"/>
    <w:rsid w:val="00AC30DA"/>
    <w:rsid w:val="00AD265B"/>
    <w:rsid w:val="00AD2F6C"/>
    <w:rsid w:val="00AD322D"/>
    <w:rsid w:val="00AE7B7A"/>
    <w:rsid w:val="00AF387A"/>
    <w:rsid w:val="00B04D1B"/>
    <w:rsid w:val="00B07684"/>
    <w:rsid w:val="00B10B58"/>
    <w:rsid w:val="00B21136"/>
    <w:rsid w:val="00B2418B"/>
    <w:rsid w:val="00B41EFD"/>
    <w:rsid w:val="00B44B73"/>
    <w:rsid w:val="00B47036"/>
    <w:rsid w:val="00B53237"/>
    <w:rsid w:val="00B53BA5"/>
    <w:rsid w:val="00B53CA7"/>
    <w:rsid w:val="00B75C4A"/>
    <w:rsid w:val="00B77785"/>
    <w:rsid w:val="00B8283F"/>
    <w:rsid w:val="00B872F4"/>
    <w:rsid w:val="00B92E19"/>
    <w:rsid w:val="00B931A5"/>
    <w:rsid w:val="00B93217"/>
    <w:rsid w:val="00B934B7"/>
    <w:rsid w:val="00BA0CAF"/>
    <w:rsid w:val="00BA4116"/>
    <w:rsid w:val="00BA4B17"/>
    <w:rsid w:val="00BA4C5B"/>
    <w:rsid w:val="00BA6190"/>
    <w:rsid w:val="00BB4DDB"/>
    <w:rsid w:val="00BC0EF9"/>
    <w:rsid w:val="00BC3F74"/>
    <w:rsid w:val="00BC49F2"/>
    <w:rsid w:val="00BF0AE0"/>
    <w:rsid w:val="00BF0CC0"/>
    <w:rsid w:val="00BF2AB9"/>
    <w:rsid w:val="00BF4159"/>
    <w:rsid w:val="00BF5240"/>
    <w:rsid w:val="00C064BC"/>
    <w:rsid w:val="00C26EEA"/>
    <w:rsid w:val="00C3192A"/>
    <w:rsid w:val="00C3214A"/>
    <w:rsid w:val="00C33678"/>
    <w:rsid w:val="00C355CF"/>
    <w:rsid w:val="00C3712A"/>
    <w:rsid w:val="00C40517"/>
    <w:rsid w:val="00C43549"/>
    <w:rsid w:val="00C43944"/>
    <w:rsid w:val="00C44B61"/>
    <w:rsid w:val="00C46DD9"/>
    <w:rsid w:val="00C47678"/>
    <w:rsid w:val="00C518C2"/>
    <w:rsid w:val="00C601E6"/>
    <w:rsid w:val="00C668CB"/>
    <w:rsid w:val="00C66CB7"/>
    <w:rsid w:val="00C670AB"/>
    <w:rsid w:val="00C73D98"/>
    <w:rsid w:val="00C74C47"/>
    <w:rsid w:val="00C819E0"/>
    <w:rsid w:val="00C82617"/>
    <w:rsid w:val="00C82EC5"/>
    <w:rsid w:val="00C85D63"/>
    <w:rsid w:val="00C93D4B"/>
    <w:rsid w:val="00C95162"/>
    <w:rsid w:val="00CA46EA"/>
    <w:rsid w:val="00CB31B2"/>
    <w:rsid w:val="00CB6B55"/>
    <w:rsid w:val="00CC120A"/>
    <w:rsid w:val="00CC5C89"/>
    <w:rsid w:val="00CC77F1"/>
    <w:rsid w:val="00CD42D3"/>
    <w:rsid w:val="00CF3EAA"/>
    <w:rsid w:val="00CF54A8"/>
    <w:rsid w:val="00CF79C3"/>
    <w:rsid w:val="00D10AFC"/>
    <w:rsid w:val="00D1108A"/>
    <w:rsid w:val="00D141EB"/>
    <w:rsid w:val="00D17354"/>
    <w:rsid w:val="00D174AE"/>
    <w:rsid w:val="00D22283"/>
    <w:rsid w:val="00D26AFE"/>
    <w:rsid w:val="00D34BEA"/>
    <w:rsid w:val="00D41264"/>
    <w:rsid w:val="00D44844"/>
    <w:rsid w:val="00D46A0C"/>
    <w:rsid w:val="00D46A5B"/>
    <w:rsid w:val="00D47B89"/>
    <w:rsid w:val="00D57802"/>
    <w:rsid w:val="00D6027D"/>
    <w:rsid w:val="00D71762"/>
    <w:rsid w:val="00D7201E"/>
    <w:rsid w:val="00D80BDD"/>
    <w:rsid w:val="00D82D76"/>
    <w:rsid w:val="00D87B8D"/>
    <w:rsid w:val="00D90AFD"/>
    <w:rsid w:val="00D93865"/>
    <w:rsid w:val="00DA539B"/>
    <w:rsid w:val="00DA5E21"/>
    <w:rsid w:val="00DB119E"/>
    <w:rsid w:val="00DC0F2C"/>
    <w:rsid w:val="00DC3904"/>
    <w:rsid w:val="00DC4196"/>
    <w:rsid w:val="00DC627C"/>
    <w:rsid w:val="00DD0EFA"/>
    <w:rsid w:val="00DD5E73"/>
    <w:rsid w:val="00DE1AD6"/>
    <w:rsid w:val="00DE2EC2"/>
    <w:rsid w:val="00DF0755"/>
    <w:rsid w:val="00E101B8"/>
    <w:rsid w:val="00E11908"/>
    <w:rsid w:val="00E136A8"/>
    <w:rsid w:val="00E14902"/>
    <w:rsid w:val="00E16FC1"/>
    <w:rsid w:val="00E24350"/>
    <w:rsid w:val="00E250A8"/>
    <w:rsid w:val="00E31E2C"/>
    <w:rsid w:val="00E41E0E"/>
    <w:rsid w:val="00E439B0"/>
    <w:rsid w:val="00E43CDE"/>
    <w:rsid w:val="00E45140"/>
    <w:rsid w:val="00E46AE4"/>
    <w:rsid w:val="00E46E40"/>
    <w:rsid w:val="00E47B13"/>
    <w:rsid w:val="00E66FCD"/>
    <w:rsid w:val="00E819C4"/>
    <w:rsid w:val="00E953D7"/>
    <w:rsid w:val="00E9724F"/>
    <w:rsid w:val="00EB1218"/>
    <w:rsid w:val="00EB198A"/>
    <w:rsid w:val="00EB261F"/>
    <w:rsid w:val="00EB2E49"/>
    <w:rsid w:val="00EB3C05"/>
    <w:rsid w:val="00EB4364"/>
    <w:rsid w:val="00EB5500"/>
    <w:rsid w:val="00EB61A6"/>
    <w:rsid w:val="00EB7847"/>
    <w:rsid w:val="00EC1807"/>
    <w:rsid w:val="00EC45CC"/>
    <w:rsid w:val="00ED31AB"/>
    <w:rsid w:val="00ED67F9"/>
    <w:rsid w:val="00ED7295"/>
    <w:rsid w:val="00ED72F7"/>
    <w:rsid w:val="00EE18AA"/>
    <w:rsid w:val="00EE4815"/>
    <w:rsid w:val="00EF0674"/>
    <w:rsid w:val="00EF0F32"/>
    <w:rsid w:val="00EF126E"/>
    <w:rsid w:val="00EF4E74"/>
    <w:rsid w:val="00EF5404"/>
    <w:rsid w:val="00EF6CC8"/>
    <w:rsid w:val="00F05834"/>
    <w:rsid w:val="00F07876"/>
    <w:rsid w:val="00F1025F"/>
    <w:rsid w:val="00F10670"/>
    <w:rsid w:val="00F229FA"/>
    <w:rsid w:val="00F24782"/>
    <w:rsid w:val="00F27888"/>
    <w:rsid w:val="00F361DA"/>
    <w:rsid w:val="00F4317C"/>
    <w:rsid w:val="00F4615D"/>
    <w:rsid w:val="00F5371A"/>
    <w:rsid w:val="00F55D04"/>
    <w:rsid w:val="00F55FBE"/>
    <w:rsid w:val="00F6580A"/>
    <w:rsid w:val="00F75FAF"/>
    <w:rsid w:val="00F86B13"/>
    <w:rsid w:val="00F90D5C"/>
    <w:rsid w:val="00F948AD"/>
    <w:rsid w:val="00FA5E8B"/>
    <w:rsid w:val="00FB4695"/>
    <w:rsid w:val="00FB6E37"/>
    <w:rsid w:val="00FC304E"/>
    <w:rsid w:val="00FC453C"/>
    <w:rsid w:val="00FC7B15"/>
    <w:rsid w:val="00FD0FD7"/>
    <w:rsid w:val="00FD1BE2"/>
    <w:rsid w:val="00FD4706"/>
    <w:rsid w:val="00FE7B8D"/>
    <w:rsid w:val="00FF0B3F"/>
    <w:rsid w:val="00FF589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noProof/>
      <w:sz w:val="22"/>
      <w:szCs w:val="24"/>
    </w:rPr>
  </w:style>
  <w:style w:type="paragraph" w:styleId="1">
    <w:name w:val="heading 1"/>
    <w:basedOn w:val="a"/>
    <w:next w:val="a"/>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512A7C"/>
    <w:rPr>
      <w:rFonts w:ascii="Arial" w:hAnsi="Arial" w:cs="Arial"/>
      <w:iCs/>
      <w:noProof/>
      <w:sz w:val="32"/>
      <w:szCs w:val="28"/>
    </w:rPr>
  </w:style>
  <w:style w:type="paragraph" w:customStyle="1" w:styleId="TAC">
    <w:name w:val="TAC"/>
    <w:basedOn w:val="TAL"/>
    <w:link w:val="TACChar"/>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noProof w:val="0"/>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noProof w:val="0"/>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noProof w:val="0"/>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noProof w:val="0"/>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B"/>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noProof w:val="0"/>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qFormat/>
    <w:rsid w:val="000C32B5"/>
    <w:pPr>
      <w:spacing w:before="100" w:beforeAutospacing="1" w:after="100" w:afterAutospacing="1"/>
    </w:pPr>
    <w:rPr>
      <w:rFonts w:ascii="ＭＳ Ｐゴシック" w:eastAsia="ＭＳ Ｐゴシック" w:hAnsi="ＭＳ Ｐゴシック" w:cs="ＭＳ Ｐゴシック"/>
      <w:noProof w:val="0"/>
      <w:sz w:val="24"/>
    </w:rPr>
  </w:style>
  <w:style w:type="character" w:customStyle="1" w:styleId="af2">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1"/>
    <w:uiPriority w:val="34"/>
    <w:qFormat/>
    <w:rsid w:val="00EB1218"/>
    <w:rPr>
      <w:noProof/>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622682474">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2.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587</TotalTime>
  <Pages>5</Pages>
  <Words>1615</Words>
  <Characters>9209</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10803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49</cp:revision>
  <cp:lastPrinted>2036-02-07T05:28:00Z</cp:lastPrinted>
  <dcterms:created xsi:type="dcterms:W3CDTF">2023-04-07T05:26:00Z</dcterms:created>
  <dcterms:modified xsi:type="dcterms:W3CDTF">2023-09-29T06:01:00Z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